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3ACA" w14:textId="3D317C2D" w:rsidR="4B1A0909" w:rsidRDefault="4B1A0909" w:rsidP="04A1A1A0">
      <w:pPr>
        <w:spacing w:line="240" w:lineRule="auto"/>
        <w:rPr>
          <w:rFonts w:asciiTheme="majorHAnsi" w:eastAsiaTheme="majorEastAsia" w:hAnsiTheme="majorHAnsi" w:cstheme="majorBidi"/>
          <w:b/>
          <w:bCs/>
          <w:u w:val="single"/>
        </w:rPr>
      </w:pPr>
      <w:r w:rsidRPr="04A1A1A0">
        <w:rPr>
          <w:rFonts w:asciiTheme="majorHAnsi" w:eastAsiaTheme="majorEastAsia" w:hAnsiTheme="majorHAnsi" w:cstheme="majorBidi"/>
          <w:b/>
          <w:bCs/>
          <w:u w:val="single"/>
        </w:rPr>
        <w:t>Belastingreglement op verwaarloosde gebouwen en</w:t>
      </w:r>
      <w:r w:rsidR="04EAD572" w:rsidRPr="04A1A1A0">
        <w:rPr>
          <w:rFonts w:asciiTheme="majorHAnsi" w:eastAsiaTheme="majorEastAsia" w:hAnsiTheme="majorHAnsi" w:cstheme="majorBidi"/>
          <w:b/>
          <w:bCs/>
          <w:u w:val="single"/>
        </w:rPr>
        <w:t xml:space="preserve"> </w:t>
      </w:r>
      <w:r w:rsidRPr="04A1A1A0">
        <w:rPr>
          <w:rFonts w:asciiTheme="majorHAnsi" w:eastAsiaTheme="majorEastAsia" w:hAnsiTheme="majorHAnsi" w:cstheme="majorBidi"/>
          <w:b/>
          <w:bCs/>
          <w:u w:val="single"/>
        </w:rPr>
        <w:t>woningen</w:t>
      </w:r>
    </w:p>
    <w:p w14:paraId="4A9F422F" w14:textId="06FCC295" w:rsidR="553CD312" w:rsidRDefault="553CD312" w:rsidP="04A1A1A0">
      <w:pPr>
        <w:spacing w:after="120" w:line="240" w:lineRule="auto"/>
        <w:rPr>
          <w:rFonts w:ascii="Calibri Light" w:eastAsia="Calibri Light" w:hAnsi="Calibri Light" w:cs="Calibri Light"/>
        </w:rPr>
      </w:pPr>
      <w:r w:rsidRPr="04A1A1A0">
        <w:rPr>
          <w:rFonts w:ascii="Calibri Light" w:eastAsia="Calibri Light" w:hAnsi="Calibri Light" w:cs="Calibri Light"/>
          <w:b/>
          <w:bCs/>
        </w:rPr>
        <w:t>Artikel 1. Begripsomschrijvingen</w:t>
      </w:r>
    </w:p>
    <w:p w14:paraId="7B9ECA9F" w14:textId="3899BD3E" w:rsidR="553CD312" w:rsidRDefault="553CD312" w:rsidP="04A1A1A0">
      <w:pPr>
        <w:spacing w:after="120" w:line="240" w:lineRule="auto"/>
        <w:rPr>
          <w:rFonts w:ascii="Calibri Light" w:eastAsia="Calibri Light" w:hAnsi="Calibri Light" w:cs="Calibri Light"/>
        </w:rPr>
      </w:pPr>
      <w:r w:rsidRPr="04A1A1A0">
        <w:rPr>
          <w:rFonts w:ascii="Calibri Light" w:eastAsia="Calibri Light" w:hAnsi="Calibri Light" w:cs="Calibri Light"/>
        </w:rPr>
        <w:t xml:space="preserve">In dit reglement wordt verstaan onder: </w:t>
      </w:r>
    </w:p>
    <w:p w14:paraId="16340925" w14:textId="70B31223" w:rsidR="553CD312" w:rsidRDefault="553CD312" w:rsidP="04A1A1A0">
      <w:pPr>
        <w:pStyle w:val="Lijstalinea"/>
        <w:numPr>
          <w:ilvl w:val="0"/>
          <w:numId w:val="3"/>
        </w:numPr>
        <w:spacing w:after="120" w:line="240" w:lineRule="auto"/>
        <w:ind w:left="360"/>
        <w:rPr>
          <w:rFonts w:eastAsiaTheme="minorEastAsia"/>
          <w:b/>
          <w:bCs/>
        </w:rPr>
      </w:pPr>
      <w:r w:rsidRPr="04A1A1A0">
        <w:rPr>
          <w:rFonts w:ascii="Calibri Light" w:eastAsia="Calibri Light" w:hAnsi="Calibri Light" w:cs="Calibri Light"/>
          <w:b/>
          <w:bCs/>
        </w:rPr>
        <w:t>Administratie</w:t>
      </w:r>
      <w:r w:rsidRPr="04A1A1A0">
        <w:rPr>
          <w:rFonts w:ascii="Calibri Light" w:eastAsia="Calibri Light" w:hAnsi="Calibri Light" w:cs="Calibri Light"/>
        </w:rPr>
        <w:t>: de gemeentelijke of intergemeentelijke administratieve eenheid die door het bestuur wordt belast met de opsporing van verwaarloosde gebouwen, de opmaak, het beheer en de actualisering van het register van verwaarloosde woningen en gebouwen.</w:t>
      </w:r>
    </w:p>
    <w:p w14:paraId="489BF27B" w14:textId="15CEEC98" w:rsidR="553CD312" w:rsidRDefault="553CD312" w:rsidP="04A1A1A0">
      <w:pPr>
        <w:pStyle w:val="Lijstalinea"/>
        <w:numPr>
          <w:ilvl w:val="0"/>
          <w:numId w:val="3"/>
        </w:numPr>
        <w:spacing w:after="0" w:line="240" w:lineRule="auto"/>
        <w:ind w:left="360"/>
        <w:rPr>
          <w:rFonts w:eastAsiaTheme="minorEastAsia"/>
          <w:b/>
          <w:bCs/>
        </w:rPr>
      </w:pPr>
      <w:r w:rsidRPr="04A1A1A0">
        <w:rPr>
          <w:rFonts w:ascii="Calibri Light" w:eastAsia="Calibri Light" w:hAnsi="Calibri Light" w:cs="Calibri Light"/>
          <w:b/>
          <w:bCs/>
        </w:rPr>
        <w:t>Beveiligde zending</w:t>
      </w:r>
      <w:r w:rsidRPr="04A1A1A0">
        <w:rPr>
          <w:rFonts w:ascii="Calibri Light" w:eastAsia="Calibri Light" w:hAnsi="Calibri Light" w:cs="Calibri Light"/>
        </w:rPr>
        <w:t xml:space="preserve">: één van de hiernavolgende betekeningswijzen: </w:t>
      </w:r>
    </w:p>
    <w:p w14:paraId="1F9AABA3" w14:textId="540228C4" w:rsidR="553CD312" w:rsidRDefault="553CD312" w:rsidP="04A1A1A0">
      <w:pPr>
        <w:pStyle w:val="Lijstalinea"/>
        <w:numPr>
          <w:ilvl w:val="0"/>
          <w:numId w:val="2"/>
        </w:numPr>
        <w:spacing w:after="0" w:line="240" w:lineRule="auto"/>
        <w:ind w:left="709"/>
        <w:rPr>
          <w:rFonts w:eastAsiaTheme="minorEastAsia"/>
        </w:rPr>
      </w:pPr>
      <w:r w:rsidRPr="04A1A1A0">
        <w:rPr>
          <w:rFonts w:ascii="Calibri Light" w:eastAsia="Calibri Light" w:hAnsi="Calibri Light" w:cs="Calibri Light"/>
        </w:rPr>
        <w:t>een aangetekend schrijven</w:t>
      </w:r>
    </w:p>
    <w:p w14:paraId="03CB81BC" w14:textId="7A1B59E6" w:rsidR="553CD312" w:rsidRDefault="553CD312" w:rsidP="04A1A1A0">
      <w:pPr>
        <w:pStyle w:val="Lijstalinea"/>
        <w:numPr>
          <w:ilvl w:val="0"/>
          <w:numId w:val="2"/>
        </w:numPr>
        <w:spacing w:after="120" w:line="240" w:lineRule="auto"/>
        <w:ind w:left="709"/>
        <w:rPr>
          <w:rFonts w:eastAsiaTheme="minorEastAsia"/>
        </w:rPr>
      </w:pPr>
      <w:r w:rsidRPr="04A1A1A0">
        <w:rPr>
          <w:rFonts w:ascii="Calibri Light" w:eastAsia="Calibri Light" w:hAnsi="Calibri Light" w:cs="Calibri Light"/>
        </w:rPr>
        <w:t>een afgifte tegen ontvangstbewijs</w:t>
      </w:r>
    </w:p>
    <w:p w14:paraId="3A023C4E" w14:textId="4E8A4567" w:rsidR="553CD312" w:rsidRDefault="553CD312" w:rsidP="04A1A1A0">
      <w:pPr>
        <w:pStyle w:val="Lijstalinea"/>
        <w:numPr>
          <w:ilvl w:val="0"/>
          <w:numId w:val="3"/>
        </w:numPr>
        <w:spacing w:after="120" w:line="240" w:lineRule="auto"/>
        <w:ind w:left="360"/>
        <w:rPr>
          <w:rFonts w:eastAsiaTheme="minorEastAsia"/>
          <w:b/>
          <w:bCs/>
        </w:rPr>
      </w:pPr>
      <w:r w:rsidRPr="04A1A1A0">
        <w:rPr>
          <w:rFonts w:ascii="Calibri Light" w:eastAsia="Calibri Light" w:hAnsi="Calibri Light" w:cs="Calibri Light"/>
          <w:b/>
          <w:bCs/>
        </w:rPr>
        <w:t>Gebouw</w:t>
      </w:r>
      <w:r w:rsidRPr="04A1A1A0">
        <w:rPr>
          <w:rFonts w:ascii="Calibri Light" w:eastAsia="Calibri Light" w:hAnsi="Calibri Light" w:cs="Calibri Light"/>
        </w:rPr>
        <w:t>: elk bebouwd onroerend goed, dat zowel het hoofdgebouw als de bijgebouwen omvat, met uitsluiting van bedrijfsruimten, vermeld in artikel 2, 1°, van het decreet van 19 april 1995 houdende maatregelen ter bestrijding en voorkoming van leegstand en verwaarlozing van bedrijfsruimten.</w:t>
      </w:r>
    </w:p>
    <w:p w14:paraId="045F8FAF" w14:textId="277F802B" w:rsidR="553CD312" w:rsidRDefault="553CD312" w:rsidP="04A1A1A0">
      <w:pPr>
        <w:pStyle w:val="Lijstalinea"/>
        <w:numPr>
          <w:ilvl w:val="0"/>
          <w:numId w:val="3"/>
        </w:numPr>
        <w:spacing w:after="120" w:line="240" w:lineRule="auto"/>
        <w:ind w:left="360"/>
        <w:rPr>
          <w:rFonts w:eastAsiaTheme="minorEastAsia"/>
          <w:b/>
          <w:bCs/>
        </w:rPr>
      </w:pPr>
      <w:r w:rsidRPr="04A1A1A0">
        <w:rPr>
          <w:rFonts w:ascii="Calibri Light" w:eastAsia="Calibri Light" w:hAnsi="Calibri Light" w:cs="Calibri Light"/>
          <w:b/>
          <w:bCs/>
        </w:rPr>
        <w:t>Woning:</w:t>
      </w:r>
      <w:r w:rsidRPr="04A1A1A0">
        <w:rPr>
          <w:rFonts w:ascii="Calibri Light" w:eastAsia="Calibri Light" w:hAnsi="Calibri Light" w:cs="Calibri Light"/>
        </w:rPr>
        <w:t xml:space="preserve"> elk onroerend goed of deel ervan dat hoofdzakelijk bestemd is voor de huisvesting van een gezin of alleenstaande, zoals vermeld in artikel 1.3, §1,66° van de Vlaamse Codex Wonen 2021.</w:t>
      </w:r>
    </w:p>
    <w:p w14:paraId="0710FD8E" w14:textId="799A8865" w:rsidR="553CD312" w:rsidRDefault="553CD312" w:rsidP="04A1A1A0">
      <w:pPr>
        <w:pStyle w:val="Lijstalinea"/>
        <w:numPr>
          <w:ilvl w:val="0"/>
          <w:numId w:val="3"/>
        </w:numPr>
        <w:spacing w:after="120" w:line="240" w:lineRule="auto"/>
        <w:ind w:left="360"/>
        <w:rPr>
          <w:rFonts w:eastAsiaTheme="minorEastAsia"/>
          <w:b/>
          <w:bCs/>
        </w:rPr>
      </w:pPr>
      <w:r w:rsidRPr="04A1A1A0">
        <w:rPr>
          <w:rFonts w:ascii="Calibri Light" w:eastAsia="Calibri Light" w:hAnsi="Calibri Light" w:cs="Calibri Light"/>
          <w:b/>
          <w:bCs/>
        </w:rPr>
        <w:t>Registratiedatum of opnamedatum:</w:t>
      </w:r>
      <w:r w:rsidRPr="04A1A1A0">
        <w:rPr>
          <w:rFonts w:ascii="Calibri Light" w:eastAsia="Calibri Light" w:hAnsi="Calibri Light" w:cs="Calibri Light"/>
        </w:rPr>
        <w:t xml:space="preserve"> de datum waarop een woning of een gebouw opgenomen wordt in het gemeentelijk verwaarlozingsregister.</w:t>
      </w:r>
    </w:p>
    <w:p w14:paraId="7C75A167" w14:textId="7CC13535" w:rsidR="553CD312" w:rsidRDefault="553CD312" w:rsidP="04A1A1A0">
      <w:pPr>
        <w:pStyle w:val="Lijstalinea"/>
        <w:numPr>
          <w:ilvl w:val="0"/>
          <w:numId w:val="3"/>
        </w:numPr>
        <w:spacing w:after="0" w:line="240" w:lineRule="auto"/>
        <w:ind w:left="360"/>
        <w:rPr>
          <w:rFonts w:eastAsiaTheme="minorEastAsia"/>
          <w:b/>
          <w:bCs/>
        </w:rPr>
      </w:pPr>
      <w:r w:rsidRPr="04A1A1A0">
        <w:rPr>
          <w:rFonts w:ascii="Calibri Light" w:eastAsia="Calibri Light" w:hAnsi="Calibri Light" w:cs="Calibri Light"/>
          <w:b/>
          <w:bCs/>
        </w:rPr>
        <w:t>Zakelijk gerechtigde</w:t>
      </w:r>
      <w:r w:rsidRPr="04A1A1A0">
        <w:rPr>
          <w:rFonts w:ascii="Calibri Light" w:eastAsia="Calibri Light" w:hAnsi="Calibri Light" w:cs="Calibri Light"/>
        </w:rPr>
        <w:t xml:space="preserve">: de houder van één van de volgende zakelijke rechten: </w:t>
      </w:r>
    </w:p>
    <w:p w14:paraId="7E7FDEDC" w14:textId="5F34ACE6" w:rsidR="553CD312" w:rsidRDefault="553CD312" w:rsidP="04A1A1A0">
      <w:pPr>
        <w:pStyle w:val="Lijstalinea"/>
        <w:numPr>
          <w:ilvl w:val="0"/>
          <w:numId w:val="1"/>
        </w:numPr>
        <w:spacing w:after="0" w:line="240" w:lineRule="auto"/>
        <w:ind w:left="709"/>
        <w:rPr>
          <w:rFonts w:eastAsiaTheme="minorEastAsia"/>
        </w:rPr>
      </w:pPr>
      <w:r w:rsidRPr="04A1A1A0">
        <w:rPr>
          <w:rFonts w:ascii="Calibri Light" w:eastAsia="Calibri Light" w:hAnsi="Calibri Light" w:cs="Calibri Light"/>
        </w:rPr>
        <w:t>de volle eigendom</w:t>
      </w:r>
    </w:p>
    <w:p w14:paraId="3109EBA9" w14:textId="2F71B9B5" w:rsidR="553CD312" w:rsidRDefault="553CD312" w:rsidP="04A1A1A0">
      <w:pPr>
        <w:pStyle w:val="Lijstalinea"/>
        <w:numPr>
          <w:ilvl w:val="0"/>
          <w:numId w:val="1"/>
        </w:numPr>
        <w:spacing w:after="0" w:line="240" w:lineRule="auto"/>
        <w:ind w:left="709"/>
        <w:rPr>
          <w:rFonts w:eastAsiaTheme="minorEastAsia"/>
        </w:rPr>
      </w:pPr>
      <w:r w:rsidRPr="04A1A1A0">
        <w:rPr>
          <w:rFonts w:ascii="Calibri Light" w:eastAsia="Calibri Light" w:hAnsi="Calibri Light" w:cs="Calibri Light"/>
        </w:rPr>
        <w:t>het recht van opstal of van erfpacht</w:t>
      </w:r>
    </w:p>
    <w:p w14:paraId="632D6D81" w14:textId="7D06354D" w:rsidR="553CD312" w:rsidRDefault="553CD312" w:rsidP="04A1A1A0">
      <w:pPr>
        <w:pStyle w:val="Lijstalinea"/>
        <w:numPr>
          <w:ilvl w:val="0"/>
          <w:numId w:val="1"/>
        </w:numPr>
        <w:spacing w:after="120" w:line="240" w:lineRule="auto"/>
        <w:ind w:left="709"/>
        <w:rPr>
          <w:rFonts w:eastAsiaTheme="minorEastAsia"/>
        </w:rPr>
      </w:pPr>
      <w:r w:rsidRPr="04A1A1A0">
        <w:rPr>
          <w:rFonts w:ascii="Calibri Light" w:eastAsia="Calibri Light" w:hAnsi="Calibri Light" w:cs="Calibri Light"/>
        </w:rPr>
        <w:t>het vruchtgebruik</w:t>
      </w:r>
    </w:p>
    <w:p w14:paraId="5659445B" w14:textId="274451B8" w:rsidR="553CD312" w:rsidRDefault="553CD312" w:rsidP="04A1A1A0">
      <w:pPr>
        <w:pStyle w:val="Lijstalinea"/>
        <w:numPr>
          <w:ilvl w:val="0"/>
          <w:numId w:val="3"/>
        </w:numPr>
        <w:spacing w:after="120" w:line="240" w:lineRule="auto"/>
        <w:ind w:left="360"/>
        <w:rPr>
          <w:rFonts w:eastAsiaTheme="minorEastAsia"/>
          <w:b/>
          <w:bCs/>
        </w:rPr>
      </w:pPr>
      <w:r w:rsidRPr="04A1A1A0">
        <w:rPr>
          <w:rFonts w:ascii="Calibri Light" w:eastAsia="Calibri Light" w:hAnsi="Calibri Light" w:cs="Calibri Light"/>
          <w:b/>
          <w:bCs/>
        </w:rPr>
        <w:t>Verjaardag</w:t>
      </w:r>
      <w:r w:rsidRPr="04A1A1A0">
        <w:rPr>
          <w:rFonts w:ascii="Calibri Light" w:eastAsia="Calibri Light" w:hAnsi="Calibri Light" w:cs="Calibri Light"/>
        </w:rPr>
        <w:t>: het ogenblik van het verstrijken van elke nieuwe periode van 12 maanden vanaf de opnamedatum, zolang het gebouw of de woning niet uit het register is geschrapt.</w:t>
      </w:r>
    </w:p>
    <w:p w14:paraId="043AF50E" w14:textId="2A869897" w:rsidR="553CD312" w:rsidRDefault="553CD312" w:rsidP="04A1A1A0">
      <w:pPr>
        <w:pStyle w:val="Lijstalinea"/>
        <w:numPr>
          <w:ilvl w:val="0"/>
          <w:numId w:val="3"/>
        </w:numPr>
        <w:spacing w:after="120" w:line="240" w:lineRule="auto"/>
        <w:ind w:left="360"/>
        <w:rPr>
          <w:rFonts w:eastAsiaTheme="minorEastAsia"/>
          <w:b/>
          <w:bCs/>
        </w:rPr>
      </w:pPr>
      <w:r w:rsidRPr="04A1A1A0">
        <w:rPr>
          <w:rFonts w:ascii="Calibri Light" w:eastAsia="Calibri Light" w:hAnsi="Calibri Light" w:cs="Calibri Light"/>
          <w:b/>
          <w:bCs/>
        </w:rPr>
        <w:t>Verwaarlozingsregister</w:t>
      </w:r>
      <w:r w:rsidRPr="04A1A1A0">
        <w:rPr>
          <w:rFonts w:ascii="Calibri Light" w:eastAsia="Calibri Light" w:hAnsi="Calibri Light" w:cs="Calibri Light"/>
        </w:rPr>
        <w:t>: het gemeentelijk register van verwaarloosde woningen en gebouwen, vermeld in artikel 2 van dit reglement.</w:t>
      </w:r>
    </w:p>
    <w:p w14:paraId="18B1BF7F" w14:textId="07CB50EC" w:rsidR="138F933C" w:rsidRDefault="138F933C" w:rsidP="04A1A1A0">
      <w:pPr>
        <w:spacing w:line="240" w:lineRule="auto"/>
        <w:rPr>
          <w:rFonts w:asciiTheme="majorHAnsi" w:eastAsiaTheme="majorEastAsia" w:hAnsiTheme="majorHAnsi" w:cstheme="majorBidi"/>
          <w:b/>
          <w:bCs/>
        </w:rPr>
      </w:pPr>
      <w:r w:rsidRPr="04A1A1A0">
        <w:rPr>
          <w:rFonts w:asciiTheme="majorHAnsi" w:eastAsiaTheme="majorEastAsia" w:hAnsiTheme="majorHAnsi" w:cstheme="majorBidi"/>
          <w:b/>
          <w:bCs/>
        </w:rPr>
        <w:t xml:space="preserve">Artikel </w:t>
      </w:r>
      <w:r w:rsidR="10F529D3" w:rsidRPr="04A1A1A0">
        <w:rPr>
          <w:rFonts w:asciiTheme="majorHAnsi" w:eastAsiaTheme="majorEastAsia" w:hAnsiTheme="majorHAnsi" w:cstheme="majorBidi"/>
          <w:b/>
          <w:bCs/>
        </w:rPr>
        <w:t>2</w:t>
      </w:r>
      <w:r w:rsidRPr="04A1A1A0">
        <w:rPr>
          <w:rFonts w:asciiTheme="majorHAnsi" w:eastAsiaTheme="majorEastAsia" w:hAnsiTheme="majorHAnsi" w:cstheme="majorBidi"/>
          <w:b/>
          <w:bCs/>
        </w:rPr>
        <w:t>. Belastingtermijn en belastbare grondslag</w:t>
      </w:r>
    </w:p>
    <w:p w14:paraId="36FD4E1C" w14:textId="3E7DAB98"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§1. Er wordt voor de jaren 202</w:t>
      </w:r>
      <w:r w:rsidR="054CA2E4" w:rsidRPr="04A1A1A0">
        <w:rPr>
          <w:rFonts w:asciiTheme="majorHAnsi" w:eastAsiaTheme="majorEastAsia" w:hAnsiTheme="majorHAnsi" w:cstheme="majorBidi"/>
        </w:rPr>
        <w:t>2</w:t>
      </w:r>
      <w:r w:rsidRPr="04A1A1A0">
        <w:rPr>
          <w:rFonts w:asciiTheme="majorHAnsi" w:eastAsiaTheme="majorEastAsia" w:hAnsiTheme="majorHAnsi" w:cstheme="majorBidi"/>
        </w:rPr>
        <w:t xml:space="preserve"> tot en met 2025 een gemeentebelasting gevestigd op de woningen en gebouwen die, gedurende minstens twaalf opeenvolgende maanden opgenomen zijn in het gemeentelijk register van verwaarloosde woningen en gebouwen.</w:t>
      </w:r>
    </w:p>
    <w:p w14:paraId="64514D2F" w14:textId="6403C7DF"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§2. De belasting is voor het eerst verschuldigd vanaf het ogenblik dat de woning of het gebouw gedurende twaalf opeenvolgende maanden opgenomen is in het gemeentelijk register van verwaarloosde woningen en gebouwen.</w:t>
      </w:r>
      <w:r w:rsidR="74DE07C4" w:rsidRPr="04A1A1A0">
        <w:rPr>
          <w:rFonts w:asciiTheme="majorHAnsi" w:eastAsiaTheme="majorEastAsia" w:hAnsiTheme="majorHAnsi" w:cstheme="majorBidi"/>
        </w:rPr>
        <w:t xml:space="preserve"> </w:t>
      </w:r>
      <w:r w:rsidRPr="04A1A1A0">
        <w:rPr>
          <w:rFonts w:asciiTheme="majorHAnsi" w:eastAsiaTheme="majorEastAsia" w:hAnsiTheme="majorHAnsi" w:cstheme="majorBidi"/>
        </w:rPr>
        <w:t>Zolang de woning of het gebouw niet is geschrapt uit dit register, blijft de belasting verschuldigd bij het verstrijken van elke opeenvolgende periode van twaalf maanden.</w:t>
      </w:r>
    </w:p>
    <w:p w14:paraId="143E4C09" w14:textId="5093465A" w:rsidR="138F933C" w:rsidRDefault="138F933C" w:rsidP="04A1A1A0">
      <w:pPr>
        <w:spacing w:line="240" w:lineRule="auto"/>
        <w:rPr>
          <w:rFonts w:asciiTheme="majorHAnsi" w:eastAsiaTheme="majorEastAsia" w:hAnsiTheme="majorHAnsi" w:cstheme="majorBidi"/>
          <w:b/>
          <w:bCs/>
        </w:rPr>
      </w:pPr>
      <w:r w:rsidRPr="04A1A1A0">
        <w:rPr>
          <w:rFonts w:asciiTheme="majorHAnsi" w:eastAsiaTheme="majorEastAsia" w:hAnsiTheme="majorHAnsi" w:cstheme="majorBidi"/>
          <w:b/>
          <w:bCs/>
        </w:rPr>
        <w:t xml:space="preserve">Artikel </w:t>
      </w:r>
      <w:r w:rsidR="58A44C99" w:rsidRPr="04A1A1A0">
        <w:rPr>
          <w:rFonts w:asciiTheme="majorHAnsi" w:eastAsiaTheme="majorEastAsia" w:hAnsiTheme="majorHAnsi" w:cstheme="majorBidi"/>
          <w:b/>
          <w:bCs/>
        </w:rPr>
        <w:t>3</w:t>
      </w:r>
      <w:r w:rsidRPr="04A1A1A0">
        <w:rPr>
          <w:rFonts w:asciiTheme="majorHAnsi" w:eastAsiaTheme="majorEastAsia" w:hAnsiTheme="majorHAnsi" w:cstheme="majorBidi"/>
          <w:b/>
          <w:bCs/>
        </w:rPr>
        <w:t>. Belastingplichtige</w:t>
      </w:r>
    </w:p>
    <w:p w14:paraId="41321E64" w14:textId="614FF336"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§1. De belasting is verschuldigd door de zakelijk gerechtigde op de verwaarloosde woning of het verwaarloosd gebouw op de verjaardag van de registratiedatum.</w:t>
      </w:r>
    </w:p>
    <w:p w14:paraId="1996BD8E" w14:textId="1740390F"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§2. Indien er meerdere zakelijk gerechtigden zijn, zijn zij allen hoofdelijk gehouden tot betaling van de totale belastingschuld.</w:t>
      </w:r>
    </w:p>
    <w:p w14:paraId="0894BB4C" w14:textId="31679CD0" w:rsidR="138F933C" w:rsidRDefault="138F933C" w:rsidP="04A1A1A0">
      <w:pPr>
        <w:spacing w:line="240" w:lineRule="auto"/>
        <w:rPr>
          <w:rFonts w:asciiTheme="majorHAnsi" w:eastAsiaTheme="majorEastAsia" w:hAnsiTheme="majorHAnsi" w:cstheme="majorBidi"/>
          <w:b/>
          <w:bCs/>
        </w:rPr>
      </w:pPr>
      <w:r w:rsidRPr="04A1A1A0">
        <w:rPr>
          <w:rFonts w:asciiTheme="majorHAnsi" w:eastAsiaTheme="majorEastAsia" w:hAnsiTheme="majorHAnsi" w:cstheme="majorBidi"/>
          <w:b/>
          <w:bCs/>
        </w:rPr>
        <w:t xml:space="preserve">Artikel </w:t>
      </w:r>
      <w:r w:rsidR="19B05EE0" w:rsidRPr="04A1A1A0">
        <w:rPr>
          <w:rFonts w:asciiTheme="majorHAnsi" w:eastAsiaTheme="majorEastAsia" w:hAnsiTheme="majorHAnsi" w:cstheme="majorBidi"/>
          <w:b/>
          <w:bCs/>
        </w:rPr>
        <w:t>4</w:t>
      </w:r>
      <w:r w:rsidRPr="04A1A1A0">
        <w:rPr>
          <w:rFonts w:asciiTheme="majorHAnsi" w:eastAsiaTheme="majorEastAsia" w:hAnsiTheme="majorHAnsi" w:cstheme="majorBidi"/>
          <w:b/>
          <w:bCs/>
        </w:rPr>
        <w:t>. Tarief van de belasting</w:t>
      </w:r>
    </w:p>
    <w:p w14:paraId="2C2AF5A7" w14:textId="48941CD6"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§1. De belasting bedraagt 1.500 euro per woning, gebouw of wooneenheid.</w:t>
      </w:r>
    </w:p>
    <w:p w14:paraId="61681B9A" w14:textId="334A8039"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§2 Indien de woning of het gebouw een tweede opeenvolgende termijn van twaalf maanden in het register staat, bedraagt de belasting 2.500 euro per woning, gebouw of wooneenheid.</w:t>
      </w:r>
      <w:r w:rsidR="20F29928" w:rsidRPr="04A1A1A0">
        <w:rPr>
          <w:rFonts w:asciiTheme="majorHAnsi" w:eastAsiaTheme="majorEastAsia" w:hAnsiTheme="majorHAnsi" w:cstheme="majorBidi"/>
        </w:rPr>
        <w:t xml:space="preserve"> </w:t>
      </w:r>
      <w:r w:rsidRPr="04A1A1A0">
        <w:rPr>
          <w:rFonts w:asciiTheme="majorHAnsi" w:eastAsiaTheme="majorEastAsia" w:hAnsiTheme="majorHAnsi" w:cstheme="majorBidi"/>
        </w:rPr>
        <w:t xml:space="preserve">Indien de woning of het gebouw een derde opeenvolgende termijn van twaalf maanden in het register staat, </w:t>
      </w:r>
      <w:r w:rsidRPr="04A1A1A0">
        <w:rPr>
          <w:rFonts w:asciiTheme="majorHAnsi" w:eastAsiaTheme="majorEastAsia" w:hAnsiTheme="majorHAnsi" w:cstheme="majorBidi"/>
        </w:rPr>
        <w:lastRenderedPageBreak/>
        <w:t>bedraagt de belasting 4.000 euro per woning, gebouw of wooneenheid.</w:t>
      </w:r>
      <w:r w:rsidR="64DAB864" w:rsidRPr="04A1A1A0">
        <w:rPr>
          <w:rFonts w:asciiTheme="majorHAnsi" w:eastAsiaTheme="majorEastAsia" w:hAnsiTheme="majorHAnsi" w:cstheme="majorBidi"/>
        </w:rPr>
        <w:t xml:space="preserve"> </w:t>
      </w:r>
      <w:r w:rsidRPr="04A1A1A0">
        <w:rPr>
          <w:rFonts w:asciiTheme="majorHAnsi" w:eastAsiaTheme="majorEastAsia" w:hAnsiTheme="majorHAnsi" w:cstheme="majorBidi"/>
        </w:rPr>
        <w:t>Indien de woning of het gebouw een vierde of langere opeenvolgende termijn van twaalf maanden in het register staat, bedraagt de belasting 6.000 euro per woning, gebouw of wooneenheid.</w:t>
      </w:r>
    </w:p>
    <w:p w14:paraId="2DA95E9A" w14:textId="4FF4FE2F" w:rsidR="138F933C" w:rsidRDefault="138F933C" w:rsidP="04A1A1A0">
      <w:pPr>
        <w:spacing w:line="240" w:lineRule="auto"/>
        <w:rPr>
          <w:rFonts w:asciiTheme="majorHAnsi" w:eastAsiaTheme="majorEastAsia" w:hAnsiTheme="majorHAnsi" w:cstheme="majorBidi"/>
          <w:b/>
          <w:bCs/>
        </w:rPr>
      </w:pPr>
      <w:r w:rsidRPr="04A1A1A0">
        <w:rPr>
          <w:rFonts w:asciiTheme="majorHAnsi" w:eastAsiaTheme="majorEastAsia" w:hAnsiTheme="majorHAnsi" w:cstheme="majorBidi"/>
          <w:b/>
          <w:bCs/>
        </w:rPr>
        <w:t xml:space="preserve">Artikel </w:t>
      </w:r>
      <w:r w:rsidR="16BF653C" w:rsidRPr="04A1A1A0">
        <w:rPr>
          <w:rFonts w:asciiTheme="majorHAnsi" w:eastAsiaTheme="majorEastAsia" w:hAnsiTheme="majorHAnsi" w:cstheme="majorBidi"/>
          <w:b/>
          <w:bCs/>
        </w:rPr>
        <w:t>5</w:t>
      </w:r>
      <w:r w:rsidRPr="04A1A1A0">
        <w:rPr>
          <w:rFonts w:asciiTheme="majorHAnsi" w:eastAsiaTheme="majorEastAsia" w:hAnsiTheme="majorHAnsi" w:cstheme="majorBidi"/>
          <w:b/>
          <w:bCs/>
        </w:rPr>
        <w:t>. Vrijstelling</w:t>
      </w:r>
    </w:p>
    <w:p w14:paraId="340E81CD" w14:textId="31A07543"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§1 Een vrijstelling kan worden verleend aan:</w:t>
      </w:r>
    </w:p>
    <w:p w14:paraId="37DBAE39" w14:textId="2F93B079"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1° de belastingplichtige die het zakelijk recht heeft op één enkele woning, bij uitsluiting van enig ander gebouw of enige andere woning, die als laatste de woning gebruikte als hoofdverblijfplaats en die tijdelijk of permanent verblijft in een erkende ouderenvoorziening of opgenomen is in een ziekenhuis of psychiatrische of penitentiaire instelling; deze vrijstelling kan maximaal drie keer verleend worden;</w:t>
      </w:r>
    </w:p>
    <w:p w14:paraId="381F9D6A" w14:textId="525ADFEB"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 xml:space="preserve">2° de belastingplichtige waarvan de handelingsbekwaamheid beperkt werd ingevolge een gerechtelijke beslissing. </w:t>
      </w:r>
      <w:r w:rsidR="2AB965E6" w:rsidRPr="04A1A1A0">
        <w:rPr>
          <w:rFonts w:asciiTheme="majorHAnsi" w:eastAsiaTheme="majorEastAsia" w:hAnsiTheme="majorHAnsi" w:cstheme="majorBidi"/>
        </w:rPr>
        <w:t>Deze</w:t>
      </w:r>
      <w:r w:rsidRPr="04A1A1A0">
        <w:rPr>
          <w:rFonts w:asciiTheme="majorHAnsi" w:eastAsiaTheme="majorEastAsia" w:hAnsiTheme="majorHAnsi" w:cstheme="majorBidi"/>
        </w:rPr>
        <w:t xml:space="preserve"> vrijstelling kan maximaal drie keer verleend worden;</w:t>
      </w:r>
    </w:p>
    <w:p w14:paraId="1648C4FF" w14:textId="36709C86"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3° de nieuwe zakelijk gerechtigde voor het aanslagjaar volgend op het verwerven van het zakelijk recht.</w:t>
      </w:r>
      <w:r w:rsidR="51289A78" w:rsidRPr="04A1A1A0">
        <w:rPr>
          <w:rFonts w:asciiTheme="majorHAnsi" w:eastAsiaTheme="majorEastAsia" w:hAnsiTheme="majorHAnsi" w:cstheme="majorBidi"/>
        </w:rPr>
        <w:t xml:space="preserve"> </w:t>
      </w:r>
      <w:r w:rsidRPr="04A1A1A0">
        <w:rPr>
          <w:rFonts w:asciiTheme="majorHAnsi" w:eastAsiaTheme="majorEastAsia" w:hAnsiTheme="majorHAnsi" w:cstheme="majorBidi"/>
        </w:rPr>
        <w:t>Deze vrijstelling geldt niet voor:</w:t>
      </w:r>
    </w:p>
    <w:p w14:paraId="0C950F48" w14:textId="77E97543" w:rsidR="138F933C" w:rsidRDefault="138F933C" w:rsidP="04A1A1A0">
      <w:pPr>
        <w:pStyle w:val="Lijstalinea"/>
        <w:numPr>
          <w:ilvl w:val="0"/>
          <w:numId w:val="5"/>
        </w:numPr>
        <w:spacing w:line="240" w:lineRule="auto"/>
        <w:ind w:left="360"/>
        <w:rPr>
          <w:rFonts w:asciiTheme="majorHAnsi" w:eastAsiaTheme="majorEastAsia" w:hAnsiTheme="majorHAnsi" w:cstheme="majorBidi"/>
        </w:rPr>
      </w:pPr>
      <w:r w:rsidRPr="04A1A1A0">
        <w:rPr>
          <w:rFonts w:asciiTheme="majorHAnsi" w:eastAsiaTheme="majorEastAsia" w:hAnsiTheme="majorHAnsi" w:cstheme="majorBidi"/>
        </w:rPr>
        <w:t>de overdracht aan een vennootschap die door de overdrager rechtstreeks of onrechtstreeks gecontroleerd wordt;</w:t>
      </w:r>
    </w:p>
    <w:p w14:paraId="20A408D8" w14:textId="5DB62758" w:rsidR="138F933C" w:rsidRDefault="138F933C" w:rsidP="04A1A1A0">
      <w:pPr>
        <w:pStyle w:val="Lijstalinea"/>
        <w:numPr>
          <w:ilvl w:val="0"/>
          <w:numId w:val="5"/>
        </w:numPr>
        <w:spacing w:line="240" w:lineRule="auto"/>
        <w:ind w:left="360"/>
        <w:rPr>
          <w:rFonts w:asciiTheme="majorHAnsi" w:eastAsiaTheme="majorEastAsia" w:hAnsiTheme="majorHAnsi" w:cstheme="majorBidi"/>
        </w:rPr>
      </w:pPr>
      <w:r w:rsidRPr="04A1A1A0">
        <w:rPr>
          <w:rFonts w:asciiTheme="majorHAnsi" w:eastAsiaTheme="majorEastAsia" w:hAnsiTheme="majorHAnsi" w:cstheme="majorBidi"/>
        </w:rPr>
        <w:t>de overdracht die het gevolg is van een fusie, splitsing of andere overgang ten algemene titel;</w:t>
      </w:r>
    </w:p>
    <w:p w14:paraId="759A4566" w14:textId="6498AF2C" w:rsidR="138F933C" w:rsidRDefault="138F933C" w:rsidP="04A1A1A0">
      <w:pPr>
        <w:pStyle w:val="Lijstalinea"/>
        <w:numPr>
          <w:ilvl w:val="0"/>
          <w:numId w:val="5"/>
        </w:numPr>
        <w:spacing w:line="240" w:lineRule="auto"/>
        <w:ind w:left="360"/>
      </w:pPr>
      <w:r w:rsidRPr="04A1A1A0">
        <w:rPr>
          <w:rFonts w:asciiTheme="majorHAnsi" w:eastAsiaTheme="majorEastAsia" w:hAnsiTheme="majorHAnsi" w:cstheme="majorBidi"/>
        </w:rPr>
        <w:t>de overdracht aan bloed- en aanverwanten tot en met de derde graad, tenzij in geval van overdracht bij erfopvolging of testament.</w:t>
      </w:r>
    </w:p>
    <w:p w14:paraId="41C3E45B" w14:textId="2FFBBAF0"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4° de belastingplichtige wegens overmacht indien de belastingplichtige aantoont dat de woning of het gebouw opgenomen blijft in het register om redenen onafhankelijk van zijn wil.</w:t>
      </w:r>
    </w:p>
    <w:p w14:paraId="66D096FC" w14:textId="72A4484F"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§2 Een vrijstelling wordt verleend indien het gebouw of de woning:</w:t>
      </w:r>
    </w:p>
    <w:p w14:paraId="283A43EC" w14:textId="44AD8507"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1° gelegen is binnen de grenzen van een door de bevoegde overheid goedgekeurd onteigeningsplan;</w:t>
      </w:r>
    </w:p>
    <w:p w14:paraId="415DB3B0" w14:textId="651E8E47"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2° geen voorwerp meer kan uitmaken van een omgevingsvergunning omdat een voorlopig of definitief onteigeningsplan is vastgesteld;</w:t>
      </w:r>
    </w:p>
    <w:p w14:paraId="7F1418BE" w14:textId="763AFE67" w:rsidR="2FF8F9C9" w:rsidRDefault="2FF8F9C9"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3</w:t>
      </w:r>
      <w:r w:rsidR="138F933C" w:rsidRPr="04A1A1A0">
        <w:rPr>
          <w:rFonts w:asciiTheme="majorHAnsi" w:eastAsiaTheme="majorEastAsia" w:hAnsiTheme="majorHAnsi" w:cstheme="majorBidi"/>
        </w:rPr>
        <w:t>° vernield of beschadigd werd ten gevolge van een plotse ramp, met dien verstande dat deze vrijstelling maximaal drie keer verleend kan worden in de drie jaar volgend op de datum van de vernieling of beschadiging;</w:t>
      </w:r>
    </w:p>
    <w:p w14:paraId="7D1D97A2" w14:textId="12E9A88B"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4° gerenoveerd wordt blijkens een niet vervallen omgevingsvergunning/melding voor bouw- of verbouwingswerkzaamheden, met dien verstande dat deze vrijstelling maximaal drie keer verleend kan worden in de drie jaar volgend op het uitvoerbaar worden van de omgevingsvergunning/melding.</w:t>
      </w:r>
    </w:p>
    <w:p w14:paraId="2F942A96" w14:textId="6B01B12A" w:rsidR="138F933C" w:rsidRDefault="138F933C" w:rsidP="04A1A1A0">
      <w:pPr>
        <w:spacing w:line="240" w:lineRule="auto"/>
        <w:rPr>
          <w:rFonts w:asciiTheme="majorHAnsi" w:eastAsiaTheme="majorEastAsia" w:hAnsiTheme="majorHAnsi" w:cstheme="majorBidi"/>
          <w:b/>
          <w:bCs/>
        </w:rPr>
      </w:pPr>
      <w:r w:rsidRPr="04A1A1A0">
        <w:rPr>
          <w:rFonts w:asciiTheme="majorHAnsi" w:eastAsiaTheme="majorEastAsia" w:hAnsiTheme="majorHAnsi" w:cstheme="majorBidi"/>
          <w:b/>
          <w:bCs/>
        </w:rPr>
        <w:t xml:space="preserve">Artikel </w:t>
      </w:r>
      <w:r w:rsidR="02C30120" w:rsidRPr="04A1A1A0">
        <w:rPr>
          <w:rFonts w:asciiTheme="majorHAnsi" w:eastAsiaTheme="majorEastAsia" w:hAnsiTheme="majorHAnsi" w:cstheme="majorBidi"/>
          <w:b/>
          <w:bCs/>
        </w:rPr>
        <w:t>6</w:t>
      </w:r>
      <w:r w:rsidRPr="04A1A1A0">
        <w:rPr>
          <w:rFonts w:asciiTheme="majorHAnsi" w:eastAsiaTheme="majorEastAsia" w:hAnsiTheme="majorHAnsi" w:cstheme="majorBidi"/>
          <w:b/>
          <w:bCs/>
        </w:rPr>
        <w:t>. Vestiging, invordering en geschillen</w:t>
      </w:r>
    </w:p>
    <w:p w14:paraId="4F6571C0" w14:textId="66CA469B"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rPr>
        <w:t>De belasting wordt ingevorderd bij wege van een kohier dat vastgesteld en uitvoerbaar verklaard wordt door het college van burgemeester en schepenen.</w:t>
      </w:r>
      <w:r w:rsidR="228AA738" w:rsidRPr="04A1A1A0">
        <w:rPr>
          <w:rFonts w:asciiTheme="majorHAnsi" w:eastAsiaTheme="majorEastAsia" w:hAnsiTheme="majorHAnsi" w:cstheme="majorBidi"/>
        </w:rPr>
        <w:t xml:space="preserve"> </w:t>
      </w:r>
      <w:r w:rsidRPr="04A1A1A0">
        <w:rPr>
          <w:rFonts w:asciiTheme="majorHAnsi" w:eastAsiaTheme="majorEastAsia" w:hAnsiTheme="majorHAnsi" w:cstheme="majorBidi"/>
        </w:rPr>
        <w:t>De vestiging en de invordering van de belasting evenals de regeling van de geschillen ter zake gebeurt volgens de modaliteiten vervat in het decreet van 30 mei 2008 betreffende de vestiging, de invordering en de geschillenprocedure van provincie- en gemeentebelastingen.</w:t>
      </w:r>
      <w:r w:rsidR="308D1234" w:rsidRPr="04A1A1A0">
        <w:rPr>
          <w:rFonts w:asciiTheme="majorHAnsi" w:eastAsiaTheme="majorEastAsia" w:hAnsiTheme="majorHAnsi" w:cstheme="majorBidi"/>
        </w:rPr>
        <w:t xml:space="preserve"> </w:t>
      </w:r>
      <w:r w:rsidRPr="04A1A1A0">
        <w:rPr>
          <w:rFonts w:asciiTheme="majorHAnsi" w:eastAsiaTheme="majorEastAsia" w:hAnsiTheme="majorHAnsi" w:cstheme="majorBidi"/>
        </w:rPr>
        <w:t>Zonder afbreuk te doen aan de bepalingen van het decreet van 30 mei 2008, zijn de bepalingen van titel VII (Vestiging en invordering van de belastingen), hoofdstukken 1, 3, 4 ,6 tot en met 9 bis, van het Wetboek van de inkomstenbelastingen en de artikelen 126 tot 175 van het uitvoeringsbesluit van dit Wetboek van toepassing, voor zover niet specifiek de belastingen op de inkomsten betreffen.</w:t>
      </w:r>
    </w:p>
    <w:p w14:paraId="0F8D4673" w14:textId="12AB559D" w:rsidR="138F933C" w:rsidRDefault="138F933C" w:rsidP="04A1A1A0">
      <w:pPr>
        <w:spacing w:line="240" w:lineRule="auto"/>
        <w:rPr>
          <w:rFonts w:asciiTheme="majorHAnsi" w:eastAsiaTheme="majorEastAsia" w:hAnsiTheme="majorHAnsi" w:cstheme="majorBidi"/>
        </w:rPr>
      </w:pPr>
      <w:r w:rsidRPr="04A1A1A0">
        <w:rPr>
          <w:rFonts w:asciiTheme="majorHAnsi" w:eastAsiaTheme="majorEastAsia" w:hAnsiTheme="majorHAnsi" w:cstheme="majorBidi"/>
          <w:b/>
          <w:bCs/>
        </w:rPr>
        <w:t xml:space="preserve">Artikel </w:t>
      </w:r>
      <w:r w:rsidR="68B31589" w:rsidRPr="04A1A1A0">
        <w:rPr>
          <w:rFonts w:asciiTheme="majorHAnsi" w:eastAsiaTheme="majorEastAsia" w:hAnsiTheme="majorHAnsi" w:cstheme="majorBidi"/>
          <w:b/>
          <w:bCs/>
        </w:rPr>
        <w:t>7</w:t>
      </w:r>
      <w:r w:rsidRPr="04A1A1A0">
        <w:rPr>
          <w:rFonts w:asciiTheme="majorHAnsi" w:eastAsiaTheme="majorEastAsia" w:hAnsiTheme="majorHAnsi" w:cstheme="majorBidi"/>
          <w:b/>
          <w:bCs/>
        </w:rPr>
        <w:t>. Inwerkingtreding</w:t>
      </w:r>
    </w:p>
    <w:p w14:paraId="58239D57" w14:textId="03794765" w:rsidR="138F933C" w:rsidRDefault="138F933C" w:rsidP="009436B9">
      <w:pPr>
        <w:pStyle w:val="Default"/>
        <w:rPr>
          <w:rFonts w:asciiTheme="majorHAnsi" w:eastAsiaTheme="majorEastAsia" w:hAnsiTheme="majorHAnsi" w:cstheme="majorBidi"/>
        </w:rPr>
      </w:pPr>
      <w:r w:rsidRPr="04A1A1A0">
        <w:rPr>
          <w:rFonts w:asciiTheme="majorHAnsi" w:eastAsiaTheme="majorEastAsia" w:hAnsiTheme="majorHAnsi" w:cstheme="majorBidi"/>
        </w:rPr>
        <w:lastRenderedPageBreak/>
        <w:t xml:space="preserve">Dit reglement treedt </w:t>
      </w:r>
      <w:r w:rsidR="009436B9">
        <w:rPr>
          <w:rFonts w:asciiTheme="majorHAnsi" w:eastAsiaTheme="majorEastAsia" w:hAnsiTheme="majorHAnsi" w:cstheme="majorBidi"/>
        </w:rPr>
        <w:t xml:space="preserve">in werking op 01 januari 2022 </w:t>
      </w:r>
      <w:proofErr w:type="spellStart"/>
      <w:r w:rsidR="009436B9" w:rsidRPr="000A4517">
        <w:rPr>
          <w:rFonts w:ascii="AvenirNext LT Pro Regular" w:hAnsi="AvenirNext LT Pro Regular"/>
          <w:color w:val="auto"/>
          <w:sz w:val="20"/>
          <w:szCs w:val="20"/>
        </w:rPr>
        <w:t>en</w:t>
      </w:r>
      <w:proofErr w:type="spellEnd"/>
      <w:r w:rsidR="009436B9" w:rsidRPr="000A4517">
        <w:rPr>
          <w:rFonts w:ascii="AvenirNext LT Pro Regular" w:hAnsi="AvenirNext LT Pro Regular"/>
          <w:color w:val="auto"/>
          <w:sz w:val="20"/>
          <w:szCs w:val="20"/>
        </w:rPr>
        <w:t xml:space="preserve"> wordt bekendgemaakt op de </w:t>
      </w:r>
      <w:r w:rsidR="009436B9">
        <w:rPr>
          <w:rFonts w:ascii="AvenirNext LT Pro Regular" w:hAnsi="AvenirNext LT Pro Regular"/>
          <w:color w:val="auto"/>
          <w:sz w:val="20"/>
          <w:szCs w:val="20"/>
        </w:rPr>
        <w:t xml:space="preserve">gemeentelijke website. </w:t>
      </w:r>
      <w:bookmarkStart w:id="0" w:name="_GoBack"/>
      <w:bookmarkEnd w:id="0"/>
    </w:p>
    <w:sectPr w:rsidR="138F9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Next LT Pro Regular">
    <w:panose1 w:val="020B0504020202020204"/>
    <w:charset w:val="00"/>
    <w:family w:val="swiss"/>
    <w:notTrueType/>
    <w:pitch w:val="variable"/>
    <w:sig w:usb0="800000A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B1FC8"/>
    <w:multiLevelType w:val="hybridMultilevel"/>
    <w:tmpl w:val="CFCA114C"/>
    <w:lvl w:ilvl="0" w:tplc="D11CB468">
      <w:start w:val="1"/>
      <w:numFmt w:val="bullet"/>
      <w:lvlText w:val=""/>
      <w:lvlJc w:val="left"/>
      <w:pPr>
        <w:ind w:left="720" w:hanging="360"/>
      </w:pPr>
      <w:rPr>
        <w:rFonts w:ascii="Symbol" w:hAnsi="Symbol" w:hint="default"/>
      </w:rPr>
    </w:lvl>
    <w:lvl w:ilvl="1" w:tplc="80469BD0">
      <w:start w:val="1"/>
      <w:numFmt w:val="bullet"/>
      <w:lvlText w:val="o"/>
      <w:lvlJc w:val="left"/>
      <w:pPr>
        <w:ind w:left="1440" w:hanging="360"/>
      </w:pPr>
      <w:rPr>
        <w:rFonts w:ascii="Courier New" w:hAnsi="Courier New" w:hint="default"/>
      </w:rPr>
    </w:lvl>
    <w:lvl w:ilvl="2" w:tplc="1C147D10">
      <w:start w:val="1"/>
      <w:numFmt w:val="bullet"/>
      <w:lvlText w:val=""/>
      <w:lvlJc w:val="left"/>
      <w:pPr>
        <w:ind w:left="2160" w:hanging="360"/>
      </w:pPr>
      <w:rPr>
        <w:rFonts w:ascii="Wingdings" w:hAnsi="Wingdings" w:hint="default"/>
      </w:rPr>
    </w:lvl>
    <w:lvl w:ilvl="3" w:tplc="372E2F06">
      <w:start w:val="1"/>
      <w:numFmt w:val="bullet"/>
      <w:lvlText w:val=""/>
      <w:lvlJc w:val="left"/>
      <w:pPr>
        <w:ind w:left="2880" w:hanging="360"/>
      </w:pPr>
      <w:rPr>
        <w:rFonts w:ascii="Symbol" w:hAnsi="Symbol" w:hint="default"/>
      </w:rPr>
    </w:lvl>
    <w:lvl w:ilvl="4" w:tplc="84F412DE">
      <w:start w:val="1"/>
      <w:numFmt w:val="bullet"/>
      <w:lvlText w:val="o"/>
      <w:lvlJc w:val="left"/>
      <w:pPr>
        <w:ind w:left="3600" w:hanging="360"/>
      </w:pPr>
      <w:rPr>
        <w:rFonts w:ascii="Courier New" w:hAnsi="Courier New" w:hint="default"/>
      </w:rPr>
    </w:lvl>
    <w:lvl w:ilvl="5" w:tplc="17383FE0">
      <w:start w:val="1"/>
      <w:numFmt w:val="bullet"/>
      <w:lvlText w:val=""/>
      <w:lvlJc w:val="left"/>
      <w:pPr>
        <w:ind w:left="4320" w:hanging="360"/>
      </w:pPr>
      <w:rPr>
        <w:rFonts w:ascii="Wingdings" w:hAnsi="Wingdings" w:hint="default"/>
      </w:rPr>
    </w:lvl>
    <w:lvl w:ilvl="6" w:tplc="C24C751A">
      <w:start w:val="1"/>
      <w:numFmt w:val="bullet"/>
      <w:lvlText w:val=""/>
      <w:lvlJc w:val="left"/>
      <w:pPr>
        <w:ind w:left="5040" w:hanging="360"/>
      </w:pPr>
      <w:rPr>
        <w:rFonts w:ascii="Symbol" w:hAnsi="Symbol" w:hint="default"/>
      </w:rPr>
    </w:lvl>
    <w:lvl w:ilvl="7" w:tplc="FB744B36">
      <w:start w:val="1"/>
      <w:numFmt w:val="bullet"/>
      <w:lvlText w:val="o"/>
      <w:lvlJc w:val="left"/>
      <w:pPr>
        <w:ind w:left="5760" w:hanging="360"/>
      </w:pPr>
      <w:rPr>
        <w:rFonts w:ascii="Courier New" w:hAnsi="Courier New" w:hint="default"/>
      </w:rPr>
    </w:lvl>
    <w:lvl w:ilvl="8" w:tplc="A9B8637A">
      <w:start w:val="1"/>
      <w:numFmt w:val="bullet"/>
      <w:lvlText w:val=""/>
      <w:lvlJc w:val="left"/>
      <w:pPr>
        <w:ind w:left="6480" w:hanging="360"/>
      </w:pPr>
      <w:rPr>
        <w:rFonts w:ascii="Wingdings" w:hAnsi="Wingdings" w:hint="default"/>
      </w:rPr>
    </w:lvl>
  </w:abstractNum>
  <w:abstractNum w:abstractNumId="1" w15:restartNumberingAfterBreak="0">
    <w:nsid w:val="20580040"/>
    <w:multiLevelType w:val="hybridMultilevel"/>
    <w:tmpl w:val="A33E1150"/>
    <w:lvl w:ilvl="0" w:tplc="A8427812">
      <w:start w:val="1"/>
      <w:numFmt w:val="bullet"/>
      <w:lvlText w:val=""/>
      <w:lvlJc w:val="left"/>
      <w:pPr>
        <w:ind w:left="720" w:hanging="360"/>
      </w:pPr>
      <w:rPr>
        <w:rFonts w:ascii="Symbol" w:hAnsi="Symbol" w:hint="default"/>
      </w:rPr>
    </w:lvl>
    <w:lvl w:ilvl="1" w:tplc="E5CA23EE">
      <w:start w:val="1"/>
      <w:numFmt w:val="bullet"/>
      <w:lvlText w:val="o"/>
      <w:lvlJc w:val="left"/>
      <w:pPr>
        <w:ind w:left="1440" w:hanging="360"/>
      </w:pPr>
      <w:rPr>
        <w:rFonts w:ascii="Courier New" w:hAnsi="Courier New" w:hint="default"/>
      </w:rPr>
    </w:lvl>
    <w:lvl w:ilvl="2" w:tplc="B19AF99E">
      <w:start w:val="1"/>
      <w:numFmt w:val="bullet"/>
      <w:lvlText w:val=""/>
      <w:lvlJc w:val="left"/>
      <w:pPr>
        <w:ind w:left="2160" w:hanging="360"/>
      </w:pPr>
      <w:rPr>
        <w:rFonts w:ascii="Wingdings" w:hAnsi="Wingdings" w:hint="default"/>
      </w:rPr>
    </w:lvl>
    <w:lvl w:ilvl="3" w:tplc="B0F4F91A">
      <w:start w:val="1"/>
      <w:numFmt w:val="bullet"/>
      <w:lvlText w:val=""/>
      <w:lvlJc w:val="left"/>
      <w:pPr>
        <w:ind w:left="2880" w:hanging="360"/>
      </w:pPr>
      <w:rPr>
        <w:rFonts w:ascii="Symbol" w:hAnsi="Symbol" w:hint="default"/>
      </w:rPr>
    </w:lvl>
    <w:lvl w:ilvl="4" w:tplc="0F3A9FE4">
      <w:start w:val="1"/>
      <w:numFmt w:val="bullet"/>
      <w:lvlText w:val="o"/>
      <w:lvlJc w:val="left"/>
      <w:pPr>
        <w:ind w:left="3600" w:hanging="360"/>
      </w:pPr>
      <w:rPr>
        <w:rFonts w:ascii="Courier New" w:hAnsi="Courier New" w:hint="default"/>
      </w:rPr>
    </w:lvl>
    <w:lvl w:ilvl="5" w:tplc="8FBEE792">
      <w:start w:val="1"/>
      <w:numFmt w:val="bullet"/>
      <w:lvlText w:val=""/>
      <w:lvlJc w:val="left"/>
      <w:pPr>
        <w:ind w:left="4320" w:hanging="360"/>
      </w:pPr>
      <w:rPr>
        <w:rFonts w:ascii="Wingdings" w:hAnsi="Wingdings" w:hint="default"/>
      </w:rPr>
    </w:lvl>
    <w:lvl w:ilvl="6" w:tplc="70A02D54">
      <w:start w:val="1"/>
      <w:numFmt w:val="bullet"/>
      <w:lvlText w:val=""/>
      <w:lvlJc w:val="left"/>
      <w:pPr>
        <w:ind w:left="5040" w:hanging="360"/>
      </w:pPr>
      <w:rPr>
        <w:rFonts w:ascii="Symbol" w:hAnsi="Symbol" w:hint="default"/>
      </w:rPr>
    </w:lvl>
    <w:lvl w:ilvl="7" w:tplc="5D70EEDC">
      <w:start w:val="1"/>
      <w:numFmt w:val="bullet"/>
      <w:lvlText w:val="o"/>
      <w:lvlJc w:val="left"/>
      <w:pPr>
        <w:ind w:left="5760" w:hanging="360"/>
      </w:pPr>
      <w:rPr>
        <w:rFonts w:ascii="Courier New" w:hAnsi="Courier New" w:hint="default"/>
      </w:rPr>
    </w:lvl>
    <w:lvl w:ilvl="8" w:tplc="FA1E0B38">
      <w:start w:val="1"/>
      <w:numFmt w:val="bullet"/>
      <w:lvlText w:val=""/>
      <w:lvlJc w:val="left"/>
      <w:pPr>
        <w:ind w:left="6480" w:hanging="360"/>
      </w:pPr>
      <w:rPr>
        <w:rFonts w:ascii="Wingdings" w:hAnsi="Wingdings" w:hint="default"/>
      </w:rPr>
    </w:lvl>
  </w:abstractNum>
  <w:abstractNum w:abstractNumId="2" w15:restartNumberingAfterBreak="0">
    <w:nsid w:val="4CD3036F"/>
    <w:multiLevelType w:val="hybridMultilevel"/>
    <w:tmpl w:val="B95228F4"/>
    <w:lvl w:ilvl="0" w:tplc="650E4AF2">
      <w:start w:val="1"/>
      <w:numFmt w:val="lowerLetter"/>
      <w:lvlText w:val="%1)"/>
      <w:lvlJc w:val="left"/>
      <w:pPr>
        <w:ind w:left="720" w:hanging="360"/>
      </w:pPr>
    </w:lvl>
    <w:lvl w:ilvl="1" w:tplc="77E6307E">
      <w:start w:val="1"/>
      <w:numFmt w:val="lowerLetter"/>
      <w:lvlText w:val="%2."/>
      <w:lvlJc w:val="left"/>
      <w:pPr>
        <w:ind w:left="1440" w:hanging="360"/>
      </w:pPr>
    </w:lvl>
    <w:lvl w:ilvl="2" w:tplc="B1A6A826">
      <w:start w:val="1"/>
      <w:numFmt w:val="lowerRoman"/>
      <w:lvlText w:val="%3."/>
      <w:lvlJc w:val="right"/>
      <w:pPr>
        <w:ind w:left="2160" w:hanging="180"/>
      </w:pPr>
    </w:lvl>
    <w:lvl w:ilvl="3" w:tplc="6664603E">
      <w:start w:val="1"/>
      <w:numFmt w:val="decimal"/>
      <w:lvlText w:val="%4."/>
      <w:lvlJc w:val="left"/>
      <w:pPr>
        <w:ind w:left="2880" w:hanging="360"/>
      </w:pPr>
    </w:lvl>
    <w:lvl w:ilvl="4" w:tplc="8CE80578">
      <w:start w:val="1"/>
      <w:numFmt w:val="lowerLetter"/>
      <w:lvlText w:val="%5."/>
      <w:lvlJc w:val="left"/>
      <w:pPr>
        <w:ind w:left="3600" w:hanging="360"/>
      </w:pPr>
    </w:lvl>
    <w:lvl w:ilvl="5" w:tplc="28127FDA">
      <w:start w:val="1"/>
      <w:numFmt w:val="lowerRoman"/>
      <w:lvlText w:val="%6."/>
      <w:lvlJc w:val="right"/>
      <w:pPr>
        <w:ind w:left="4320" w:hanging="180"/>
      </w:pPr>
    </w:lvl>
    <w:lvl w:ilvl="6" w:tplc="3C9C9666">
      <w:start w:val="1"/>
      <w:numFmt w:val="decimal"/>
      <w:lvlText w:val="%7."/>
      <w:lvlJc w:val="left"/>
      <w:pPr>
        <w:ind w:left="5040" w:hanging="360"/>
      </w:pPr>
    </w:lvl>
    <w:lvl w:ilvl="7" w:tplc="6E7AD908">
      <w:start w:val="1"/>
      <w:numFmt w:val="lowerLetter"/>
      <w:lvlText w:val="%8."/>
      <w:lvlJc w:val="left"/>
      <w:pPr>
        <w:ind w:left="5760" w:hanging="360"/>
      </w:pPr>
    </w:lvl>
    <w:lvl w:ilvl="8" w:tplc="B3F417EA">
      <w:start w:val="1"/>
      <w:numFmt w:val="lowerRoman"/>
      <w:lvlText w:val="%9."/>
      <w:lvlJc w:val="right"/>
      <w:pPr>
        <w:ind w:left="6480" w:hanging="180"/>
      </w:pPr>
    </w:lvl>
  </w:abstractNum>
  <w:abstractNum w:abstractNumId="3" w15:restartNumberingAfterBreak="0">
    <w:nsid w:val="61A12F4E"/>
    <w:multiLevelType w:val="hybridMultilevel"/>
    <w:tmpl w:val="EC7ABDA0"/>
    <w:lvl w:ilvl="0" w:tplc="4B102C5C">
      <w:start w:val="1"/>
      <w:numFmt w:val="lowerLetter"/>
      <w:lvlText w:val="%1)"/>
      <w:lvlJc w:val="left"/>
      <w:pPr>
        <w:ind w:left="720" w:hanging="360"/>
      </w:pPr>
    </w:lvl>
    <w:lvl w:ilvl="1" w:tplc="391EAB48">
      <w:start w:val="1"/>
      <w:numFmt w:val="lowerLetter"/>
      <w:lvlText w:val="%2."/>
      <w:lvlJc w:val="left"/>
      <w:pPr>
        <w:ind w:left="1440" w:hanging="360"/>
      </w:pPr>
    </w:lvl>
    <w:lvl w:ilvl="2" w:tplc="9D9E4ABC">
      <w:start w:val="1"/>
      <w:numFmt w:val="lowerRoman"/>
      <w:lvlText w:val="%3."/>
      <w:lvlJc w:val="right"/>
      <w:pPr>
        <w:ind w:left="2160" w:hanging="180"/>
      </w:pPr>
    </w:lvl>
    <w:lvl w:ilvl="3" w:tplc="A3E2A238">
      <w:start w:val="1"/>
      <w:numFmt w:val="decimal"/>
      <w:lvlText w:val="%4."/>
      <w:lvlJc w:val="left"/>
      <w:pPr>
        <w:ind w:left="2880" w:hanging="360"/>
      </w:pPr>
    </w:lvl>
    <w:lvl w:ilvl="4" w:tplc="D772E32A">
      <w:start w:val="1"/>
      <w:numFmt w:val="lowerLetter"/>
      <w:lvlText w:val="%5."/>
      <w:lvlJc w:val="left"/>
      <w:pPr>
        <w:ind w:left="3600" w:hanging="360"/>
      </w:pPr>
    </w:lvl>
    <w:lvl w:ilvl="5" w:tplc="6B227298">
      <w:start w:val="1"/>
      <w:numFmt w:val="lowerRoman"/>
      <w:lvlText w:val="%6."/>
      <w:lvlJc w:val="right"/>
      <w:pPr>
        <w:ind w:left="4320" w:hanging="180"/>
      </w:pPr>
    </w:lvl>
    <w:lvl w:ilvl="6" w:tplc="8AA69908">
      <w:start w:val="1"/>
      <w:numFmt w:val="decimal"/>
      <w:lvlText w:val="%7."/>
      <w:lvlJc w:val="left"/>
      <w:pPr>
        <w:ind w:left="5040" w:hanging="360"/>
      </w:pPr>
    </w:lvl>
    <w:lvl w:ilvl="7" w:tplc="2D102A2C">
      <w:start w:val="1"/>
      <w:numFmt w:val="lowerLetter"/>
      <w:lvlText w:val="%8."/>
      <w:lvlJc w:val="left"/>
      <w:pPr>
        <w:ind w:left="5760" w:hanging="360"/>
      </w:pPr>
    </w:lvl>
    <w:lvl w:ilvl="8" w:tplc="3FA61A9C">
      <w:start w:val="1"/>
      <w:numFmt w:val="lowerRoman"/>
      <w:lvlText w:val="%9."/>
      <w:lvlJc w:val="right"/>
      <w:pPr>
        <w:ind w:left="6480" w:hanging="180"/>
      </w:pPr>
    </w:lvl>
  </w:abstractNum>
  <w:abstractNum w:abstractNumId="4" w15:restartNumberingAfterBreak="0">
    <w:nsid w:val="6B310335"/>
    <w:multiLevelType w:val="hybridMultilevel"/>
    <w:tmpl w:val="71E845CC"/>
    <w:lvl w:ilvl="0" w:tplc="12304394">
      <w:start w:val="1"/>
      <w:numFmt w:val="bullet"/>
      <w:lvlText w:val=""/>
      <w:lvlJc w:val="left"/>
      <w:pPr>
        <w:ind w:left="720" w:hanging="360"/>
      </w:pPr>
      <w:rPr>
        <w:rFonts w:ascii="Symbol" w:hAnsi="Symbol" w:hint="default"/>
      </w:rPr>
    </w:lvl>
    <w:lvl w:ilvl="1" w:tplc="DE088D32">
      <w:start w:val="1"/>
      <w:numFmt w:val="bullet"/>
      <w:lvlText w:val="o"/>
      <w:lvlJc w:val="left"/>
      <w:pPr>
        <w:ind w:left="1440" w:hanging="360"/>
      </w:pPr>
      <w:rPr>
        <w:rFonts w:ascii="Courier New" w:hAnsi="Courier New" w:hint="default"/>
      </w:rPr>
    </w:lvl>
    <w:lvl w:ilvl="2" w:tplc="48E2648A">
      <w:start w:val="1"/>
      <w:numFmt w:val="bullet"/>
      <w:lvlText w:val=""/>
      <w:lvlJc w:val="left"/>
      <w:pPr>
        <w:ind w:left="2160" w:hanging="360"/>
      </w:pPr>
      <w:rPr>
        <w:rFonts w:ascii="Wingdings" w:hAnsi="Wingdings" w:hint="default"/>
      </w:rPr>
    </w:lvl>
    <w:lvl w:ilvl="3" w:tplc="6E947C80">
      <w:start w:val="1"/>
      <w:numFmt w:val="bullet"/>
      <w:lvlText w:val=""/>
      <w:lvlJc w:val="left"/>
      <w:pPr>
        <w:ind w:left="2880" w:hanging="360"/>
      </w:pPr>
      <w:rPr>
        <w:rFonts w:ascii="Symbol" w:hAnsi="Symbol" w:hint="default"/>
      </w:rPr>
    </w:lvl>
    <w:lvl w:ilvl="4" w:tplc="D51E6D68">
      <w:start w:val="1"/>
      <w:numFmt w:val="bullet"/>
      <w:lvlText w:val="o"/>
      <w:lvlJc w:val="left"/>
      <w:pPr>
        <w:ind w:left="3600" w:hanging="360"/>
      </w:pPr>
      <w:rPr>
        <w:rFonts w:ascii="Courier New" w:hAnsi="Courier New" w:hint="default"/>
      </w:rPr>
    </w:lvl>
    <w:lvl w:ilvl="5" w:tplc="C4126286">
      <w:start w:val="1"/>
      <w:numFmt w:val="bullet"/>
      <w:lvlText w:val=""/>
      <w:lvlJc w:val="left"/>
      <w:pPr>
        <w:ind w:left="4320" w:hanging="360"/>
      </w:pPr>
      <w:rPr>
        <w:rFonts w:ascii="Wingdings" w:hAnsi="Wingdings" w:hint="default"/>
      </w:rPr>
    </w:lvl>
    <w:lvl w:ilvl="6" w:tplc="0C3475C2">
      <w:start w:val="1"/>
      <w:numFmt w:val="bullet"/>
      <w:lvlText w:val=""/>
      <w:lvlJc w:val="left"/>
      <w:pPr>
        <w:ind w:left="5040" w:hanging="360"/>
      </w:pPr>
      <w:rPr>
        <w:rFonts w:ascii="Symbol" w:hAnsi="Symbol" w:hint="default"/>
      </w:rPr>
    </w:lvl>
    <w:lvl w:ilvl="7" w:tplc="3788E798">
      <w:start w:val="1"/>
      <w:numFmt w:val="bullet"/>
      <w:lvlText w:val="o"/>
      <w:lvlJc w:val="left"/>
      <w:pPr>
        <w:ind w:left="5760" w:hanging="360"/>
      </w:pPr>
      <w:rPr>
        <w:rFonts w:ascii="Courier New" w:hAnsi="Courier New" w:hint="default"/>
      </w:rPr>
    </w:lvl>
    <w:lvl w:ilvl="8" w:tplc="5E82384E">
      <w:start w:val="1"/>
      <w:numFmt w:val="bullet"/>
      <w:lvlText w:val=""/>
      <w:lvlJc w:val="left"/>
      <w:pPr>
        <w:ind w:left="6480" w:hanging="360"/>
      </w:pPr>
      <w:rPr>
        <w:rFonts w:ascii="Wingdings" w:hAnsi="Wingdings" w:hint="default"/>
      </w:rPr>
    </w:lvl>
  </w:abstractNum>
  <w:abstractNum w:abstractNumId="5" w15:restartNumberingAfterBreak="0">
    <w:nsid w:val="7AFD022D"/>
    <w:multiLevelType w:val="hybridMultilevel"/>
    <w:tmpl w:val="5F187150"/>
    <w:lvl w:ilvl="0" w:tplc="70A85FD2">
      <w:start w:val="1"/>
      <w:numFmt w:val="decimal"/>
      <w:lvlText w:val="%1°"/>
      <w:lvlJc w:val="left"/>
      <w:pPr>
        <w:ind w:left="720" w:hanging="360"/>
      </w:pPr>
    </w:lvl>
    <w:lvl w:ilvl="1" w:tplc="9208B1D2">
      <w:start w:val="1"/>
      <w:numFmt w:val="lowerLetter"/>
      <w:lvlText w:val="%2."/>
      <w:lvlJc w:val="left"/>
      <w:pPr>
        <w:ind w:left="1440" w:hanging="360"/>
      </w:pPr>
    </w:lvl>
    <w:lvl w:ilvl="2" w:tplc="491622EA">
      <w:start w:val="1"/>
      <w:numFmt w:val="lowerRoman"/>
      <w:lvlText w:val="%3."/>
      <w:lvlJc w:val="right"/>
      <w:pPr>
        <w:ind w:left="2160" w:hanging="180"/>
      </w:pPr>
    </w:lvl>
    <w:lvl w:ilvl="3" w:tplc="F49CBE58">
      <w:start w:val="1"/>
      <w:numFmt w:val="decimal"/>
      <w:lvlText w:val="%4."/>
      <w:lvlJc w:val="left"/>
      <w:pPr>
        <w:ind w:left="2880" w:hanging="360"/>
      </w:pPr>
    </w:lvl>
    <w:lvl w:ilvl="4" w:tplc="BFB2A542">
      <w:start w:val="1"/>
      <w:numFmt w:val="lowerLetter"/>
      <w:lvlText w:val="%5."/>
      <w:lvlJc w:val="left"/>
      <w:pPr>
        <w:ind w:left="3600" w:hanging="360"/>
      </w:pPr>
    </w:lvl>
    <w:lvl w:ilvl="5" w:tplc="50F4EFB0">
      <w:start w:val="1"/>
      <w:numFmt w:val="lowerRoman"/>
      <w:lvlText w:val="%6."/>
      <w:lvlJc w:val="right"/>
      <w:pPr>
        <w:ind w:left="4320" w:hanging="180"/>
      </w:pPr>
    </w:lvl>
    <w:lvl w:ilvl="6" w:tplc="B5B6BC90">
      <w:start w:val="1"/>
      <w:numFmt w:val="decimal"/>
      <w:lvlText w:val="%7."/>
      <w:lvlJc w:val="left"/>
      <w:pPr>
        <w:ind w:left="5040" w:hanging="360"/>
      </w:pPr>
    </w:lvl>
    <w:lvl w:ilvl="7" w:tplc="561E3C5A">
      <w:start w:val="1"/>
      <w:numFmt w:val="lowerLetter"/>
      <w:lvlText w:val="%8."/>
      <w:lvlJc w:val="left"/>
      <w:pPr>
        <w:ind w:left="5760" w:hanging="360"/>
      </w:pPr>
    </w:lvl>
    <w:lvl w:ilvl="8" w:tplc="977E3AC6">
      <w:start w:val="1"/>
      <w:numFmt w:val="lowerRoman"/>
      <w:lvlText w:val="%9."/>
      <w:lvlJc w:val="right"/>
      <w:pPr>
        <w:ind w:left="6480" w:hanging="180"/>
      </w:pPr>
    </w:lvl>
  </w:abstractNum>
  <w:abstractNum w:abstractNumId="6" w15:restartNumberingAfterBreak="0">
    <w:nsid w:val="7F664A71"/>
    <w:multiLevelType w:val="hybridMultilevel"/>
    <w:tmpl w:val="36CEF836"/>
    <w:lvl w:ilvl="0" w:tplc="B0AE919C">
      <w:start w:val="1"/>
      <w:numFmt w:val="lowerLetter"/>
      <w:lvlText w:val="%1)"/>
      <w:lvlJc w:val="left"/>
      <w:pPr>
        <w:ind w:left="720" w:hanging="360"/>
      </w:pPr>
    </w:lvl>
    <w:lvl w:ilvl="1" w:tplc="B324FB0C">
      <w:start w:val="1"/>
      <w:numFmt w:val="lowerLetter"/>
      <w:lvlText w:val="%2."/>
      <w:lvlJc w:val="left"/>
      <w:pPr>
        <w:ind w:left="1440" w:hanging="360"/>
      </w:pPr>
    </w:lvl>
    <w:lvl w:ilvl="2" w:tplc="9ED01104">
      <w:start w:val="1"/>
      <w:numFmt w:val="lowerRoman"/>
      <w:lvlText w:val="%3."/>
      <w:lvlJc w:val="right"/>
      <w:pPr>
        <w:ind w:left="2160" w:hanging="180"/>
      </w:pPr>
    </w:lvl>
    <w:lvl w:ilvl="3" w:tplc="3C607C8A">
      <w:start w:val="1"/>
      <w:numFmt w:val="decimal"/>
      <w:lvlText w:val="%4."/>
      <w:lvlJc w:val="left"/>
      <w:pPr>
        <w:ind w:left="2880" w:hanging="360"/>
      </w:pPr>
    </w:lvl>
    <w:lvl w:ilvl="4" w:tplc="1A963A3E">
      <w:start w:val="1"/>
      <w:numFmt w:val="lowerLetter"/>
      <w:lvlText w:val="%5."/>
      <w:lvlJc w:val="left"/>
      <w:pPr>
        <w:ind w:left="3600" w:hanging="360"/>
      </w:pPr>
    </w:lvl>
    <w:lvl w:ilvl="5" w:tplc="AC560452">
      <w:start w:val="1"/>
      <w:numFmt w:val="lowerRoman"/>
      <w:lvlText w:val="%6."/>
      <w:lvlJc w:val="right"/>
      <w:pPr>
        <w:ind w:left="4320" w:hanging="180"/>
      </w:pPr>
    </w:lvl>
    <w:lvl w:ilvl="6" w:tplc="198A32F4">
      <w:start w:val="1"/>
      <w:numFmt w:val="decimal"/>
      <w:lvlText w:val="%7."/>
      <w:lvlJc w:val="left"/>
      <w:pPr>
        <w:ind w:left="5040" w:hanging="360"/>
      </w:pPr>
    </w:lvl>
    <w:lvl w:ilvl="7" w:tplc="46824EE2">
      <w:start w:val="1"/>
      <w:numFmt w:val="lowerLetter"/>
      <w:lvlText w:val="%8."/>
      <w:lvlJc w:val="left"/>
      <w:pPr>
        <w:ind w:left="5760" w:hanging="360"/>
      </w:pPr>
    </w:lvl>
    <w:lvl w:ilvl="8" w:tplc="B3A08EB0">
      <w:start w:val="1"/>
      <w:numFmt w:val="lowerRoman"/>
      <w:lvlText w:val="%9."/>
      <w:lvlJc w:val="right"/>
      <w:pPr>
        <w:ind w:left="6480" w:hanging="180"/>
      </w:pPr>
    </w:lvl>
  </w:abstractNum>
  <w:num w:numId="1">
    <w:abstractNumId w:val="6"/>
  </w:num>
  <w:num w:numId="2">
    <w:abstractNumId w:val="2"/>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272E1B"/>
    <w:rsid w:val="004DABB7"/>
    <w:rsid w:val="009436B9"/>
    <w:rsid w:val="00D705AA"/>
    <w:rsid w:val="016808A0"/>
    <w:rsid w:val="02C30120"/>
    <w:rsid w:val="03A82479"/>
    <w:rsid w:val="04777BD5"/>
    <w:rsid w:val="04A1A1A0"/>
    <w:rsid w:val="04EAD572"/>
    <w:rsid w:val="053A6CCF"/>
    <w:rsid w:val="054CA2E4"/>
    <w:rsid w:val="059BBF0C"/>
    <w:rsid w:val="0A45C795"/>
    <w:rsid w:val="0E378678"/>
    <w:rsid w:val="10F529D3"/>
    <w:rsid w:val="138F933C"/>
    <w:rsid w:val="13B6A3B6"/>
    <w:rsid w:val="14ABC02A"/>
    <w:rsid w:val="16BF653C"/>
    <w:rsid w:val="17E40641"/>
    <w:rsid w:val="19B05EE0"/>
    <w:rsid w:val="1B33381E"/>
    <w:rsid w:val="1C9DA9B2"/>
    <w:rsid w:val="1F52618F"/>
    <w:rsid w:val="1FA4F2F3"/>
    <w:rsid w:val="20D31A69"/>
    <w:rsid w:val="20F29928"/>
    <w:rsid w:val="228AA738"/>
    <w:rsid w:val="22DC93B5"/>
    <w:rsid w:val="230FE08E"/>
    <w:rsid w:val="25A68B8C"/>
    <w:rsid w:val="2740FB0C"/>
    <w:rsid w:val="275CD4B9"/>
    <w:rsid w:val="29B514E9"/>
    <w:rsid w:val="2AA86169"/>
    <w:rsid w:val="2AB965E6"/>
    <w:rsid w:val="2F4360D0"/>
    <w:rsid w:val="2FF8F9C9"/>
    <w:rsid w:val="308D1234"/>
    <w:rsid w:val="30DF3131"/>
    <w:rsid w:val="328EB40B"/>
    <w:rsid w:val="34F03D99"/>
    <w:rsid w:val="369749EC"/>
    <w:rsid w:val="39120792"/>
    <w:rsid w:val="3AEC8E8D"/>
    <w:rsid w:val="3B272E1B"/>
    <w:rsid w:val="3B5FF6F2"/>
    <w:rsid w:val="3B60AE0D"/>
    <w:rsid w:val="3BF28876"/>
    <w:rsid w:val="3D532500"/>
    <w:rsid w:val="40C5F999"/>
    <w:rsid w:val="45B78B47"/>
    <w:rsid w:val="47535BA8"/>
    <w:rsid w:val="49EEF43C"/>
    <w:rsid w:val="4B1A0909"/>
    <w:rsid w:val="4F404D02"/>
    <w:rsid w:val="4F841501"/>
    <w:rsid w:val="5024C2C4"/>
    <w:rsid w:val="51289A78"/>
    <w:rsid w:val="51DEE586"/>
    <w:rsid w:val="51EE00E1"/>
    <w:rsid w:val="5223378A"/>
    <w:rsid w:val="52F0B858"/>
    <w:rsid w:val="53364F33"/>
    <w:rsid w:val="537186EB"/>
    <w:rsid w:val="55168648"/>
    <w:rsid w:val="553CD312"/>
    <w:rsid w:val="57534C6D"/>
    <w:rsid w:val="58A44C99"/>
    <w:rsid w:val="58EF1CCE"/>
    <w:rsid w:val="59A4045D"/>
    <w:rsid w:val="59D81D4F"/>
    <w:rsid w:val="59F912C6"/>
    <w:rsid w:val="5D044BF4"/>
    <w:rsid w:val="5D21982D"/>
    <w:rsid w:val="5F5E5E52"/>
    <w:rsid w:val="601ED46C"/>
    <w:rsid w:val="608DFBBE"/>
    <w:rsid w:val="61E8DFDF"/>
    <w:rsid w:val="6238D14F"/>
    <w:rsid w:val="64DAB864"/>
    <w:rsid w:val="67C14F8E"/>
    <w:rsid w:val="681F1416"/>
    <w:rsid w:val="689E05D1"/>
    <w:rsid w:val="68B31589"/>
    <w:rsid w:val="6B0C46D4"/>
    <w:rsid w:val="6C118207"/>
    <w:rsid w:val="6CC65EFE"/>
    <w:rsid w:val="6D177BF0"/>
    <w:rsid w:val="7128BB29"/>
    <w:rsid w:val="7386BD74"/>
    <w:rsid w:val="74DE07C4"/>
    <w:rsid w:val="7AFBA3BE"/>
    <w:rsid w:val="7B3D6DCA"/>
    <w:rsid w:val="7B91CF59"/>
    <w:rsid w:val="7D024067"/>
    <w:rsid w:val="7EC9701B"/>
    <w:rsid w:val="7FE7406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72E1B"/>
  <w15:chartTrackingRefBased/>
  <w15:docId w15:val="{FFD60E5A-FA0D-4011-92E0-DCB4A7D3F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pPr>
      <w:ind w:left="720"/>
      <w:contextualSpacing/>
    </w:pPr>
  </w:style>
  <w:style w:type="paragraph" w:customStyle="1" w:styleId="Default">
    <w:name w:val="Default"/>
    <w:rsid w:val="009436B9"/>
    <w:pPr>
      <w:autoSpaceDE w:val="0"/>
      <w:autoSpaceDN w:val="0"/>
      <w:adjustRightInd w:val="0"/>
      <w:spacing w:after="0" w:line="240" w:lineRule="auto"/>
    </w:pPr>
    <w:rPr>
      <w:rFonts w:ascii="Calibri" w:hAnsi="Calibri" w:cs="Calibri"/>
      <w:color w:val="000000"/>
      <w:sz w:val="24"/>
      <w:szCs w:val="24"/>
      <w:lang w:val="nl-BE"/>
    </w:rPr>
  </w:style>
  <w:style w:type="character" w:styleId="Hyperlink">
    <w:name w:val="Hyperlink"/>
    <w:basedOn w:val="Standaardalinea-lettertype"/>
    <w:uiPriority w:val="99"/>
    <w:unhideWhenUsed/>
    <w:rsid w:val="009436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971</Words>
  <Characters>5341</Characters>
  <Application>Microsoft Office Word</Application>
  <DocSecurity>4</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Verna Vanwolleghem</dc:creator>
  <cp:keywords/>
  <dc:description/>
  <cp:lastModifiedBy> </cp:lastModifiedBy>
  <cp:revision>2</cp:revision>
  <dcterms:created xsi:type="dcterms:W3CDTF">2021-12-10T17:34:00Z</dcterms:created>
  <dcterms:modified xsi:type="dcterms:W3CDTF">2021-12-10T17:34:00Z</dcterms:modified>
</cp:coreProperties>
</file>