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FC6" w:rsidRPr="00B1514D" w:rsidRDefault="00AE5FC6" w:rsidP="00AE5FC6">
      <w:pPr>
        <w:tabs>
          <w:tab w:val="left" w:pos="567"/>
        </w:tabs>
        <w:rPr>
          <w:rFonts w:cs="Times New Roman"/>
          <w:b/>
          <w:bCs/>
          <w:i/>
          <w:sz w:val="24"/>
          <w:u w:val="single"/>
          <w:lang w:eastAsia="nl-NL"/>
        </w:rPr>
      </w:pPr>
      <w:r w:rsidRPr="00B1514D">
        <w:rPr>
          <w:b/>
          <w:bCs/>
          <w:i/>
          <w:sz w:val="24"/>
          <w:u w:val="single"/>
        </w:rPr>
        <w:t>Goedkeuring</w:t>
      </w:r>
      <w:r>
        <w:rPr>
          <w:b/>
          <w:bCs/>
          <w:i/>
          <w:sz w:val="24"/>
          <w:u w:val="single"/>
        </w:rPr>
        <w:t xml:space="preserve"> aangepast</w:t>
      </w:r>
      <w:r w:rsidRPr="00B1514D">
        <w:rPr>
          <w:b/>
          <w:bCs/>
          <w:i/>
          <w:sz w:val="24"/>
          <w:u w:val="single"/>
        </w:rPr>
        <w:t xml:space="preserve"> reglement </w:t>
      </w:r>
      <w:r w:rsidR="0080753A">
        <w:rPr>
          <w:b/>
          <w:bCs/>
          <w:i/>
          <w:sz w:val="24"/>
          <w:u w:val="single"/>
        </w:rPr>
        <w:t xml:space="preserve">socio-culturele participatie </w:t>
      </w:r>
    </w:p>
    <w:p w:rsidR="00AE5FC6" w:rsidRDefault="00AE5FC6" w:rsidP="00AE5FC6">
      <w:pPr>
        <w:pStyle w:val="Geenafstand"/>
        <w:tabs>
          <w:tab w:val="left" w:pos="567"/>
        </w:tabs>
        <w:jc w:val="both"/>
        <w:rPr>
          <w:rFonts w:ascii="Century" w:hAnsi="Century"/>
          <w:b/>
          <w:sz w:val="22"/>
          <w:szCs w:val="22"/>
          <w:u w:val="single"/>
        </w:rPr>
      </w:pPr>
    </w:p>
    <w:p w:rsidR="00AE5FC6" w:rsidRDefault="00AE5FC6" w:rsidP="00AE5FC6">
      <w:pPr>
        <w:pStyle w:val="Geenafstand"/>
        <w:tabs>
          <w:tab w:val="left" w:pos="567"/>
        </w:tabs>
        <w:jc w:val="both"/>
        <w:rPr>
          <w:rFonts w:ascii="Century" w:hAnsi="Century"/>
          <w:b/>
          <w:sz w:val="22"/>
          <w:szCs w:val="22"/>
          <w:u w:val="single"/>
        </w:rPr>
      </w:pPr>
      <w:r>
        <w:rPr>
          <w:rFonts w:ascii="Century" w:hAnsi="Century"/>
          <w:b/>
          <w:sz w:val="22"/>
          <w:szCs w:val="22"/>
          <w:u w:val="single"/>
        </w:rPr>
        <w:t>Wetgeving:</w:t>
      </w:r>
    </w:p>
    <w:p w:rsidR="00AE5FC6" w:rsidRDefault="00AE5FC6" w:rsidP="00AE5FC6">
      <w:pPr>
        <w:pStyle w:val="Lijstalinea"/>
        <w:numPr>
          <w:ilvl w:val="0"/>
          <w:numId w:val="1"/>
        </w:numPr>
        <w:jc w:val="both"/>
        <w:rPr>
          <w:rFonts w:cs="Times New Roman"/>
          <w:bCs/>
          <w:szCs w:val="22"/>
          <w:lang w:eastAsia="nl-NL"/>
        </w:rPr>
      </w:pPr>
      <w:bookmarkStart w:id="0" w:name="_GoBack"/>
      <w:r>
        <w:rPr>
          <w:rFonts w:cs="Times New Roman"/>
          <w:bCs/>
          <w:szCs w:val="22"/>
          <w:lang w:eastAsia="nl-NL"/>
        </w:rPr>
        <w:t xml:space="preserve">Decreet lokaal bestuur </w:t>
      </w:r>
      <w:r w:rsidR="000A0F59">
        <w:rPr>
          <w:rFonts w:cs="Times New Roman"/>
          <w:bCs/>
          <w:szCs w:val="22"/>
          <w:lang w:eastAsia="nl-NL"/>
        </w:rPr>
        <w:t>van 22 december 2017 en latere wijzigingen</w:t>
      </w:r>
    </w:p>
    <w:p w:rsidR="00D76E80" w:rsidRDefault="00D76E80" w:rsidP="00AE5FC6">
      <w:pPr>
        <w:pStyle w:val="Lijstalinea"/>
        <w:numPr>
          <w:ilvl w:val="0"/>
          <w:numId w:val="1"/>
        </w:numPr>
        <w:jc w:val="both"/>
        <w:rPr>
          <w:rFonts w:cs="Times New Roman"/>
          <w:bCs/>
          <w:szCs w:val="22"/>
          <w:lang w:eastAsia="nl-NL"/>
        </w:rPr>
      </w:pPr>
      <w:r>
        <w:rPr>
          <w:rFonts w:cs="Times New Roman"/>
          <w:bCs/>
          <w:szCs w:val="22"/>
          <w:lang w:eastAsia="nl-NL"/>
        </w:rPr>
        <w:t xml:space="preserve">OCMW-wet van </w:t>
      </w:r>
      <w:r w:rsidR="000A0F59">
        <w:rPr>
          <w:rFonts w:cs="Times New Roman"/>
          <w:bCs/>
          <w:szCs w:val="22"/>
          <w:lang w:eastAsia="nl-NL"/>
        </w:rPr>
        <w:t>8 juli 1976 en latere wijzigingen</w:t>
      </w:r>
    </w:p>
    <w:p w:rsidR="000A0F59" w:rsidRDefault="000A0F59" w:rsidP="00AE5FC6">
      <w:pPr>
        <w:pStyle w:val="Lijstalinea"/>
        <w:numPr>
          <w:ilvl w:val="0"/>
          <w:numId w:val="1"/>
        </w:numPr>
        <w:jc w:val="both"/>
        <w:rPr>
          <w:rFonts w:cs="Times New Roman"/>
          <w:bCs/>
          <w:szCs w:val="22"/>
          <w:lang w:eastAsia="nl-NL"/>
        </w:rPr>
      </w:pPr>
      <w:r>
        <w:rPr>
          <w:rFonts w:cs="Times New Roman"/>
          <w:bCs/>
          <w:szCs w:val="22"/>
          <w:lang w:eastAsia="nl-NL"/>
        </w:rPr>
        <w:t xml:space="preserve">Wet van 2 april 1965 en latere wijzigingen betreffende het ten laste nemen van steun door de </w:t>
      </w:r>
      <w:proofErr w:type="spellStart"/>
      <w:r>
        <w:rPr>
          <w:rFonts w:cs="Times New Roman"/>
          <w:bCs/>
          <w:szCs w:val="22"/>
          <w:lang w:eastAsia="nl-NL"/>
        </w:rPr>
        <w:t>OCMW’s</w:t>
      </w:r>
      <w:proofErr w:type="spellEnd"/>
      <w:r>
        <w:rPr>
          <w:rFonts w:cs="Times New Roman"/>
          <w:bCs/>
          <w:szCs w:val="22"/>
          <w:lang w:eastAsia="nl-NL"/>
        </w:rPr>
        <w:t xml:space="preserve">. </w:t>
      </w:r>
    </w:p>
    <w:p w:rsidR="000A0F59" w:rsidRDefault="000A0F59" w:rsidP="000A0F59">
      <w:pPr>
        <w:pStyle w:val="Lijstalinea"/>
        <w:numPr>
          <w:ilvl w:val="0"/>
          <w:numId w:val="1"/>
        </w:numPr>
        <w:jc w:val="both"/>
        <w:rPr>
          <w:rFonts w:cs="Times New Roman"/>
          <w:bCs/>
          <w:szCs w:val="22"/>
          <w:lang w:eastAsia="nl-NL"/>
        </w:rPr>
      </w:pPr>
      <w:r w:rsidRPr="000A0F59">
        <w:rPr>
          <w:rFonts w:cs="Times New Roman"/>
          <w:bCs/>
          <w:szCs w:val="22"/>
          <w:lang w:eastAsia="nl-NL"/>
        </w:rPr>
        <w:t>Koninklijk besluit van 10 juli 2022 houdende maatregelen ter bevordering van de participatie en sociale activering van de gebruikers van de dienstverlening van de openbare centra voor maatschappelijk welzijn voor het jaar 2022</w:t>
      </w:r>
    </w:p>
    <w:p w:rsidR="000A0F59" w:rsidRDefault="000A0F59" w:rsidP="000A0F59">
      <w:pPr>
        <w:pStyle w:val="Lijstalinea"/>
        <w:numPr>
          <w:ilvl w:val="0"/>
          <w:numId w:val="1"/>
        </w:numPr>
        <w:jc w:val="both"/>
        <w:rPr>
          <w:rFonts w:cs="Times New Roman"/>
          <w:bCs/>
          <w:szCs w:val="22"/>
          <w:lang w:eastAsia="nl-NL"/>
        </w:rPr>
      </w:pPr>
      <w:r w:rsidRPr="000A0F59">
        <w:rPr>
          <w:rFonts w:cs="Times New Roman"/>
          <w:bCs/>
          <w:szCs w:val="22"/>
          <w:lang w:eastAsia="nl-NL"/>
        </w:rPr>
        <w:t xml:space="preserve">KB van 10 juli 2022 houdende toekenning van een financiële tegemoetkoming aan bepaalde </w:t>
      </w:r>
      <w:proofErr w:type="spellStart"/>
      <w:r w:rsidRPr="000A0F59">
        <w:rPr>
          <w:rFonts w:cs="Times New Roman"/>
          <w:bCs/>
          <w:szCs w:val="22"/>
          <w:lang w:eastAsia="nl-NL"/>
        </w:rPr>
        <w:t>OCMW's</w:t>
      </w:r>
      <w:proofErr w:type="spellEnd"/>
      <w:r w:rsidRPr="000A0F59">
        <w:rPr>
          <w:rFonts w:cs="Times New Roman"/>
          <w:bCs/>
          <w:szCs w:val="22"/>
          <w:lang w:eastAsia="nl-NL"/>
        </w:rPr>
        <w:t xml:space="preserve"> als gevolg van de hervorming van de maatregelen ter bevordering van de participatie en sociale activering van de gebruikers van de dienstverlening voor 2022</w:t>
      </w:r>
    </w:p>
    <w:p w:rsidR="00AE5FC6" w:rsidRDefault="00AE5FC6" w:rsidP="00AE5FC6">
      <w:pPr>
        <w:pStyle w:val="Lijstalinea"/>
        <w:numPr>
          <w:ilvl w:val="0"/>
          <w:numId w:val="1"/>
        </w:numPr>
        <w:jc w:val="both"/>
        <w:rPr>
          <w:rFonts w:cs="Times New Roman"/>
          <w:bCs/>
          <w:szCs w:val="22"/>
          <w:lang w:eastAsia="nl-NL"/>
        </w:rPr>
      </w:pPr>
      <w:r>
        <w:rPr>
          <w:rFonts w:cs="Times New Roman"/>
          <w:bCs/>
          <w:szCs w:val="22"/>
          <w:lang w:eastAsia="nl-NL"/>
        </w:rPr>
        <w:t xml:space="preserve">Reglement socio-culturele participatie, goedgekeurd door OCMW-raad 20.09.2017 </w:t>
      </w:r>
    </w:p>
    <w:bookmarkEnd w:id="0"/>
    <w:p w:rsidR="00D76E80" w:rsidRPr="00D76E80" w:rsidRDefault="00D76E80" w:rsidP="00D76E80">
      <w:pPr>
        <w:jc w:val="both"/>
        <w:rPr>
          <w:rFonts w:cs="Times New Roman"/>
          <w:bCs/>
          <w:szCs w:val="22"/>
          <w:lang w:eastAsia="nl-NL"/>
        </w:rPr>
      </w:pPr>
    </w:p>
    <w:p w:rsidR="00AE5FC6" w:rsidRDefault="00AE5FC6" w:rsidP="00AE5FC6">
      <w:pPr>
        <w:jc w:val="both"/>
        <w:rPr>
          <w:rFonts w:cs="Times New Roman"/>
          <w:bCs/>
          <w:szCs w:val="22"/>
          <w:lang w:eastAsia="nl-NL"/>
        </w:rPr>
      </w:pPr>
    </w:p>
    <w:p w:rsidR="00AE5FC6" w:rsidRDefault="003B1807" w:rsidP="00AE5FC6">
      <w:pPr>
        <w:jc w:val="both"/>
        <w:rPr>
          <w:rFonts w:cs="Times New Roman"/>
          <w:bCs/>
          <w:szCs w:val="22"/>
          <w:lang w:eastAsia="nl-NL"/>
        </w:rPr>
      </w:pPr>
      <w:r>
        <w:rPr>
          <w:rFonts w:cs="Times New Roman"/>
          <w:bCs/>
          <w:szCs w:val="22"/>
          <w:lang w:eastAsia="nl-NL"/>
        </w:rPr>
        <w:t xml:space="preserve">Argumentatie </w:t>
      </w:r>
    </w:p>
    <w:p w:rsidR="003B1807" w:rsidRDefault="003B1807" w:rsidP="003B1807">
      <w:pPr>
        <w:jc w:val="both"/>
        <w:rPr>
          <w:rFonts w:cs="Times New Roman"/>
          <w:bCs/>
          <w:szCs w:val="22"/>
          <w:lang w:eastAsia="nl-NL"/>
        </w:rPr>
      </w:pPr>
      <w:r>
        <w:rPr>
          <w:rFonts w:cs="Times New Roman"/>
          <w:bCs/>
          <w:szCs w:val="22"/>
          <w:lang w:eastAsia="nl-NL"/>
        </w:rPr>
        <w:t>Gezien de huidige inflatie is het nodig om een verhoging van de bestaande toelage</w:t>
      </w:r>
      <w:r>
        <w:rPr>
          <w:rFonts w:cs="Times New Roman"/>
          <w:bCs/>
          <w:szCs w:val="22"/>
          <w:lang w:eastAsia="nl-NL"/>
        </w:rPr>
        <w:t>s</w:t>
      </w:r>
      <w:r>
        <w:rPr>
          <w:rFonts w:cs="Times New Roman"/>
          <w:bCs/>
          <w:szCs w:val="22"/>
          <w:lang w:eastAsia="nl-NL"/>
        </w:rPr>
        <w:t xml:space="preserve"> door te voeren, zodat deze tussenkomsten nog maatschappelijk relevant zijn. </w:t>
      </w:r>
    </w:p>
    <w:tbl>
      <w:tblPr>
        <w:tblStyle w:val="Tabelraster"/>
        <w:tblW w:w="9352" w:type="dxa"/>
        <w:tblLook w:val="04A0" w:firstRow="1" w:lastRow="0" w:firstColumn="1" w:lastColumn="0" w:noHBand="0" w:noVBand="1"/>
      </w:tblPr>
      <w:tblGrid>
        <w:gridCol w:w="6658"/>
        <w:gridCol w:w="1418"/>
        <w:gridCol w:w="1276"/>
      </w:tblGrid>
      <w:tr w:rsidR="00D76E80" w:rsidTr="00D76E80">
        <w:tc>
          <w:tcPr>
            <w:tcW w:w="6658" w:type="dxa"/>
          </w:tcPr>
          <w:p w:rsidR="00D76E80" w:rsidRDefault="00D76E80" w:rsidP="00885206">
            <w:pPr>
              <w:jc w:val="both"/>
              <w:rPr>
                <w:rFonts w:cs="Times New Roman"/>
                <w:bCs/>
                <w:szCs w:val="22"/>
                <w:lang w:eastAsia="nl-NL"/>
              </w:rPr>
            </w:pPr>
            <w:r>
              <w:rPr>
                <w:rFonts w:cs="Times New Roman"/>
                <w:bCs/>
                <w:szCs w:val="22"/>
                <w:lang w:eastAsia="nl-NL"/>
              </w:rPr>
              <w:t xml:space="preserve">Toelage ter bevordering participatie &amp; sociale activering </w:t>
            </w:r>
          </w:p>
          <w:p w:rsidR="000A0F59" w:rsidRDefault="000A0F59" w:rsidP="00885206">
            <w:pPr>
              <w:jc w:val="both"/>
              <w:rPr>
                <w:rFonts w:cs="Times New Roman"/>
                <w:bCs/>
                <w:szCs w:val="22"/>
                <w:lang w:eastAsia="nl-NL"/>
              </w:rPr>
            </w:pPr>
            <w:r>
              <w:rPr>
                <w:rFonts w:cs="Times New Roman"/>
                <w:bCs/>
                <w:szCs w:val="22"/>
                <w:lang w:eastAsia="nl-NL"/>
              </w:rPr>
              <w:t xml:space="preserve">&gt;&gt; max. bedrag per jaar </w:t>
            </w:r>
          </w:p>
        </w:tc>
        <w:tc>
          <w:tcPr>
            <w:tcW w:w="1418" w:type="dxa"/>
          </w:tcPr>
          <w:p w:rsidR="00D76E80" w:rsidRDefault="00D76E80" w:rsidP="00885206">
            <w:pPr>
              <w:jc w:val="both"/>
              <w:rPr>
                <w:rFonts w:cs="Times New Roman"/>
                <w:bCs/>
                <w:szCs w:val="22"/>
                <w:lang w:eastAsia="nl-NL"/>
              </w:rPr>
            </w:pPr>
            <w:r>
              <w:rPr>
                <w:rFonts w:cs="Times New Roman"/>
                <w:bCs/>
                <w:szCs w:val="22"/>
                <w:lang w:eastAsia="nl-NL"/>
              </w:rPr>
              <w:t xml:space="preserve">Bedrag </w:t>
            </w:r>
            <w:r w:rsidR="000A0F59">
              <w:rPr>
                <w:rFonts w:cs="Times New Roman"/>
                <w:bCs/>
                <w:szCs w:val="22"/>
                <w:lang w:eastAsia="nl-NL"/>
              </w:rPr>
              <w:t xml:space="preserve">sinds </w:t>
            </w:r>
            <w:r>
              <w:rPr>
                <w:rFonts w:cs="Times New Roman"/>
                <w:bCs/>
                <w:szCs w:val="22"/>
                <w:lang w:eastAsia="nl-NL"/>
              </w:rPr>
              <w:t>2017</w:t>
            </w:r>
          </w:p>
        </w:tc>
        <w:tc>
          <w:tcPr>
            <w:tcW w:w="1276" w:type="dxa"/>
          </w:tcPr>
          <w:p w:rsidR="00D76E80" w:rsidRDefault="00D76E80" w:rsidP="00885206">
            <w:pPr>
              <w:jc w:val="both"/>
              <w:rPr>
                <w:rFonts w:cs="Times New Roman"/>
                <w:bCs/>
                <w:szCs w:val="22"/>
                <w:lang w:eastAsia="nl-NL"/>
              </w:rPr>
            </w:pPr>
            <w:r>
              <w:rPr>
                <w:rFonts w:cs="Times New Roman"/>
                <w:bCs/>
                <w:szCs w:val="22"/>
                <w:lang w:eastAsia="nl-NL"/>
              </w:rPr>
              <w:t>Nieuw bedrag vanaf 2023</w:t>
            </w:r>
          </w:p>
        </w:tc>
      </w:tr>
      <w:tr w:rsidR="00D76E80" w:rsidTr="00D76E80">
        <w:tc>
          <w:tcPr>
            <w:tcW w:w="6658" w:type="dxa"/>
          </w:tcPr>
          <w:p w:rsidR="00D76E80" w:rsidRDefault="00D76E80" w:rsidP="003B1807">
            <w:pPr>
              <w:jc w:val="both"/>
              <w:rPr>
                <w:rFonts w:cs="Times New Roman"/>
                <w:bCs/>
                <w:szCs w:val="22"/>
                <w:lang w:eastAsia="nl-NL"/>
              </w:rPr>
            </w:pPr>
            <w:r>
              <w:rPr>
                <w:rFonts w:cs="Times New Roman"/>
                <w:bCs/>
                <w:szCs w:val="22"/>
                <w:lang w:eastAsia="nl-NL"/>
              </w:rPr>
              <w:t xml:space="preserve">Tussenkomst lidgeld vereniging &gt;18 jaar </w:t>
            </w:r>
          </w:p>
        </w:tc>
        <w:tc>
          <w:tcPr>
            <w:tcW w:w="1418" w:type="dxa"/>
          </w:tcPr>
          <w:p w:rsidR="00D76E80" w:rsidRDefault="00D76E80" w:rsidP="003B1807">
            <w:pPr>
              <w:jc w:val="both"/>
              <w:rPr>
                <w:rFonts w:cs="Times New Roman"/>
                <w:bCs/>
                <w:szCs w:val="22"/>
                <w:lang w:eastAsia="nl-NL"/>
              </w:rPr>
            </w:pPr>
            <w:r>
              <w:rPr>
                <w:rFonts w:cs="Times New Roman"/>
                <w:bCs/>
                <w:szCs w:val="22"/>
                <w:lang w:eastAsia="nl-NL"/>
              </w:rPr>
              <w:t>30 EUR</w:t>
            </w:r>
          </w:p>
        </w:tc>
        <w:tc>
          <w:tcPr>
            <w:tcW w:w="1276" w:type="dxa"/>
          </w:tcPr>
          <w:p w:rsidR="00D76E80" w:rsidRDefault="00D76E80" w:rsidP="003B1807">
            <w:pPr>
              <w:jc w:val="both"/>
              <w:rPr>
                <w:rFonts w:cs="Times New Roman"/>
                <w:bCs/>
                <w:szCs w:val="22"/>
                <w:lang w:eastAsia="nl-NL"/>
              </w:rPr>
            </w:pPr>
            <w:r>
              <w:rPr>
                <w:rFonts w:cs="Times New Roman"/>
                <w:bCs/>
                <w:szCs w:val="22"/>
                <w:lang w:eastAsia="nl-NL"/>
              </w:rPr>
              <w:t>40 EUR</w:t>
            </w:r>
          </w:p>
        </w:tc>
      </w:tr>
      <w:tr w:rsidR="00D76E80" w:rsidTr="00D76E80">
        <w:tc>
          <w:tcPr>
            <w:tcW w:w="6658" w:type="dxa"/>
          </w:tcPr>
          <w:p w:rsidR="00D76E80" w:rsidRDefault="00D76E80" w:rsidP="00D76E80">
            <w:pPr>
              <w:jc w:val="both"/>
              <w:rPr>
                <w:rFonts w:cs="Times New Roman"/>
                <w:bCs/>
                <w:szCs w:val="22"/>
                <w:lang w:eastAsia="nl-NL"/>
              </w:rPr>
            </w:pPr>
            <w:r>
              <w:rPr>
                <w:rFonts w:cs="Times New Roman"/>
                <w:bCs/>
                <w:szCs w:val="22"/>
                <w:lang w:eastAsia="nl-NL"/>
              </w:rPr>
              <w:t xml:space="preserve">Tussenkomst lidgeld vereniging &lt; </w:t>
            </w:r>
            <w:r>
              <w:rPr>
                <w:rFonts w:cs="Times New Roman"/>
                <w:bCs/>
                <w:szCs w:val="22"/>
                <w:lang w:eastAsia="nl-NL"/>
              </w:rPr>
              <w:t xml:space="preserve">18 jaar </w:t>
            </w:r>
          </w:p>
        </w:tc>
        <w:tc>
          <w:tcPr>
            <w:tcW w:w="1418" w:type="dxa"/>
          </w:tcPr>
          <w:p w:rsidR="00D76E80" w:rsidRDefault="00D76E80" w:rsidP="00D76E80">
            <w:pPr>
              <w:jc w:val="both"/>
              <w:rPr>
                <w:rFonts w:cs="Times New Roman"/>
                <w:bCs/>
                <w:szCs w:val="22"/>
                <w:lang w:eastAsia="nl-NL"/>
              </w:rPr>
            </w:pPr>
            <w:r>
              <w:rPr>
                <w:rFonts w:cs="Times New Roman"/>
                <w:bCs/>
                <w:szCs w:val="22"/>
                <w:lang w:eastAsia="nl-NL"/>
              </w:rPr>
              <w:t>90 EUR</w:t>
            </w:r>
          </w:p>
        </w:tc>
        <w:tc>
          <w:tcPr>
            <w:tcW w:w="1276" w:type="dxa"/>
          </w:tcPr>
          <w:p w:rsidR="00D76E80" w:rsidRDefault="00D76E80" w:rsidP="00D76E80">
            <w:pPr>
              <w:jc w:val="both"/>
              <w:rPr>
                <w:rFonts w:cs="Times New Roman"/>
                <w:bCs/>
                <w:szCs w:val="22"/>
                <w:lang w:eastAsia="nl-NL"/>
              </w:rPr>
            </w:pPr>
            <w:r>
              <w:rPr>
                <w:rFonts w:cs="Times New Roman"/>
                <w:bCs/>
                <w:szCs w:val="22"/>
                <w:lang w:eastAsia="nl-NL"/>
              </w:rPr>
              <w:t>100 EUR</w:t>
            </w:r>
          </w:p>
        </w:tc>
      </w:tr>
      <w:tr w:rsidR="00D76E80" w:rsidTr="00D76E80">
        <w:tc>
          <w:tcPr>
            <w:tcW w:w="6658" w:type="dxa"/>
          </w:tcPr>
          <w:p w:rsidR="00D76E80" w:rsidRDefault="00D76E80" w:rsidP="00D76E80">
            <w:pPr>
              <w:jc w:val="both"/>
              <w:rPr>
                <w:rFonts w:cs="Times New Roman"/>
                <w:bCs/>
                <w:szCs w:val="22"/>
                <w:lang w:eastAsia="nl-NL"/>
              </w:rPr>
            </w:pPr>
            <w:r>
              <w:rPr>
                <w:rFonts w:cs="Times New Roman"/>
                <w:bCs/>
                <w:szCs w:val="22"/>
                <w:lang w:eastAsia="nl-NL"/>
              </w:rPr>
              <w:t xml:space="preserve">Tussenkomst deelname kampen kinderen </w:t>
            </w:r>
          </w:p>
        </w:tc>
        <w:tc>
          <w:tcPr>
            <w:tcW w:w="1418" w:type="dxa"/>
          </w:tcPr>
          <w:p w:rsidR="00D76E80" w:rsidRDefault="00D76E80" w:rsidP="00D76E80">
            <w:pPr>
              <w:jc w:val="both"/>
              <w:rPr>
                <w:rFonts w:cs="Times New Roman"/>
                <w:bCs/>
                <w:szCs w:val="22"/>
                <w:lang w:eastAsia="nl-NL"/>
              </w:rPr>
            </w:pPr>
            <w:r>
              <w:rPr>
                <w:rFonts w:cs="Times New Roman"/>
                <w:bCs/>
                <w:szCs w:val="22"/>
                <w:lang w:eastAsia="nl-NL"/>
              </w:rPr>
              <w:t>100 EUR</w:t>
            </w:r>
          </w:p>
        </w:tc>
        <w:tc>
          <w:tcPr>
            <w:tcW w:w="1276" w:type="dxa"/>
          </w:tcPr>
          <w:p w:rsidR="00D76E80" w:rsidRDefault="00D76E80" w:rsidP="00D76E80">
            <w:pPr>
              <w:jc w:val="both"/>
              <w:rPr>
                <w:rFonts w:cs="Times New Roman"/>
                <w:bCs/>
                <w:szCs w:val="22"/>
                <w:lang w:eastAsia="nl-NL"/>
              </w:rPr>
            </w:pPr>
            <w:r>
              <w:rPr>
                <w:rFonts w:cs="Times New Roman"/>
                <w:bCs/>
                <w:szCs w:val="22"/>
                <w:lang w:eastAsia="nl-NL"/>
              </w:rPr>
              <w:t>120 EUR</w:t>
            </w:r>
          </w:p>
        </w:tc>
      </w:tr>
      <w:tr w:rsidR="00D76E80" w:rsidTr="00D76E80">
        <w:tc>
          <w:tcPr>
            <w:tcW w:w="6658" w:type="dxa"/>
          </w:tcPr>
          <w:p w:rsidR="00D76E80" w:rsidRDefault="000A0F59" w:rsidP="00D76E80">
            <w:pPr>
              <w:jc w:val="both"/>
              <w:rPr>
                <w:rFonts w:cs="Times New Roman"/>
                <w:bCs/>
                <w:szCs w:val="22"/>
                <w:lang w:eastAsia="nl-NL"/>
              </w:rPr>
            </w:pPr>
            <w:r>
              <w:rPr>
                <w:rFonts w:cs="Times New Roman"/>
                <w:bCs/>
                <w:szCs w:val="22"/>
                <w:lang w:eastAsia="nl-NL"/>
              </w:rPr>
              <w:t xml:space="preserve">Tussenkomst schoolkosten kleuteronderwijs </w:t>
            </w:r>
          </w:p>
        </w:tc>
        <w:tc>
          <w:tcPr>
            <w:tcW w:w="1418" w:type="dxa"/>
          </w:tcPr>
          <w:p w:rsidR="00D76E80" w:rsidRDefault="000A0F59" w:rsidP="00D76E80">
            <w:pPr>
              <w:jc w:val="both"/>
              <w:rPr>
                <w:rFonts w:cs="Times New Roman"/>
                <w:bCs/>
                <w:szCs w:val="22"/>
                <w:lang w:eastAsia="nl-NL"/>
              </w:rPr>
            </w:pPr>
            <w:r>
              <w:rPr>
                <w:rFonts w:cs="Times New Roman"/>
                <w:bCs/>
                <w:szCs w:val="22"/>
                <w:lang w:eastAsia="nl-NL"/>
              </w:rPr>
              <w:t>25 EUR</w:t>
            </w:r>
          </w:p>
        </w:tc>
        <w:tc>
          <w:tcPr>
            <w:tcW w:w="1276" w:type="dxa"/>
          </w:tcPr>
          <w:p w:rsidR="00D76E80" w:rsidRDefault="000A0F59" w:rsidP="00D76E80">
            <w:pPr>
              <w:jc w:val="both"/>
              <w:rPr>
                <w:rFonts w:cs="Times New Roman"/>
                <w:bCs/>
                <w:szCs w:val="22"/>
                <w:lang w:eastAsia="nl-NL"/>
              </w:rPr>
            </w:pPr>
            <w:r>
              <w:rPr>
                <w:rFonts w:cs="Times New Roman"/>
                <w:bCs/>
                <w:szCs w:val="22"/>
                <w:lang w:eastAsia="nl-NL"/>
              </w:rPr>
              <w:t xml:space="preserve">30 EUR </w:t>
            </w:r>
          </w:p>
        </w:tc>
      </w:tr>
      <w:tr w:rsidR="000A0F59" w:rsidTr="000A0F59">
        <w:tc>
          <w:tcPr>
            <w:tcW w:w="6658" w:type="dxa"/>
          </w:tcPr>
          <w:p w:rsidR="000A0F59" w:rsidRDefault="000A0F59" w:rsidP="000A0F59">
            <w:pPr>
              <w:jc w:val="both"/>
              <w:rPr>
                <w:rFonts w:cs="Times New Roman"/>
                <w:bCs/>
                <w:szCs w:val="22"/>
                <w:lang w:eastAsia="nl-NL"/>
              </w:rPr>
            </w:pPr>
            <w:r>
              <w:rPr>
                <w:rFonts w:cs="Times New Roman"/>
                <w:bCs/>
                <w:szCs w:val="22"/>
                <w:lang w:eastAsia="nl-NL"/>
              </w:rPr>
              <w:t xml:space="preserve">Tussenkomst schoolkosten </w:t>
            </w:r>
            <w:r>
              <w:rPr>
                <w:rFonts w:cs="Times New Roman"/>
                <w:bCs/>
                <w:szCs w:val="22"/>
                <w:lang w:eastAsia="nl-NL"/>
              </w:rPr>
              <w:t>lager onderwijs</w:t>
            </w:r>
            <w:r>
              <w:rPr>
                <w:rFonts w:cs="Times New Roman"/>
                <w:bCs/>
                <w:szCs w:val="22"/>
                <w:lang w:eastAsia="nl-NL"/>
              </w:rPr>
              <w:t xml:space="preserve"> </w:t>
            </w:r>
          </w:p>
        </w:tc>
        <w:tc>
          <w:tcPr>
            <w:tcW w:w="1418" w:type="dxa"/>
          </w:tcPr>
          <w:p w:rsidR="000A0F59" w:rsidRDefault="000A0F59" w:rsidP="000A45B4">
            <w:pPr>
              <w:jc w:val="both"/>
              <w:rPr>
                <w:rFonts w:cs="Times New Roman"/>
                <w:bCs/>
                <w:szCs w:val="22"/>
                <w:lang w:eastAsia="nl-NL"/>
              </w:rPr>
            </w:pPr>
            <w:r>
              <w:rPr>
                <w:rFonts w:cs="Times New Roman"/>
                <w:bCs/>
                <w:szCs w:val="22"/>
                <w:lang w:eastAsia="nl-NL"/>
              </w:rPr>
              <w:t>4</w:t>
            </w:r>
            <w:r>
              <w:rPr>
                <w:rFonts w:cs="Times New Roman"/>
                <w:bCs/>
                <w:szCs w:val="22"/>
                <w:lang w:eastAsia="nl-NL"/>
              </w:rPr>
              <w:t>5 EUR</w:t>
            </w:r>
          </w:p>
        </w:tc>
        <w:tc>
          <w:tcPr>
            <w:tcW w:w="1276" w:type="dxa"/>
          </w:tcPr>
          <w:p w:rsidR="000A0F59" w:rsidRDefault="000A0F59" w:rsidP="000A45B4">
            <w:pPr>
              <w:jc w:val="both"/>
              <w:rPr>
                <w:rFonts w:cs="Times New Roman"/>
                <w:bCs/>
                <w:szCs w:val="22"/>
                <w:lang w:eastAsia="nl-NL"/>
              </w:rPr>
            </w:pPr>
            <w:r>
              <w:rPr>
                <w:rFonts w:cs="Times New Roman"/>
                <w:bCs/>
                <w:szCs w:val="22"/>
                <w:lang w:eastAsia="nl-NL"/>
              </w:rPr>
              <w:t>60 E</w:t>
            </w:r>
            <w:r>
              <w:rPr>
                <w:rFonts w:cs="Times New Roman"/>
                <w:bCs/>
                <w:szCs w:val="22"/>
                <w:lang w:eastAsia="nl-NL"/>
              </w:rPr>
              <w:t xml:space="preserve">UR </w:t>
            </w:r>
          </w:p>
        </w:tc>
      </w:tr>
      <w:tr w:rsidR="00C12FCB" w:rsidTr="00DC7F18">
        <w:tc>
          <w:tcPr>
            <w:tcW w:w="6658" w:type="dxa"/>
          </w:tcPr>
          <w:p w:rsidR="00C12FCB" w:rsidRDefault="00C12FCB" w:rsidP="00DC7F18">
            <w:pPr>
              <w:jc w:val="both"/>
              <w:rPr>
                <w:rFonts w:cs="Times New Roman"/>
                <w:bCs/>
                <w:szCs w:val="22"/>
                <w:lang w:eastAsia="nl-NL"/>
              </w:rPr>
            </w:pPr>
            <w:r>
              <w:rPr>
                <w:rFonts w:cs="Times New Roman"/>
                <w:bCs/>
                <w:szCs w:val="22"/>
                <w:lang w:eastAsia="nl-NL"/>
              </w:rPr>
              <w:t xml:space="preserve">Tussenkomst meerdaagse klassen lagere school </w:t>
            </w:r>
          </w:p>
        </w:tc>
        <w:tc>
          <w:tcPr>
            <w:tcW w:w="1418" w:type="dxa"/>
          </w:tcPr>
          <w:p w:rsidR="00C12FCB" w:rsidRDefault="00C12FCB" w:rsidP="00DC7F18">
            <w:pPr>
              <w:jc w:val="both"/>
              <w:rPr>
                <w:rFonts w:cs="Times New Roman"/>
                <w:bCs/>
                <w:szCs w:val="22"/>
                <w:lang w:eastAsia="nl-NL"/>
              </w:rPr>
            </w:pPr>
            <w:r>
              <w:rPr>
                <w:rFonts w:cs="Times New Roman"/>
                <w:bCs/>
                <w:szCs w:val="22"/>
                <w:lang w:eastAsia="nl-NL"/>
              </w:rPr>
              <w:t>50 EUR</w:t>
            </w:r>
          </w:p>
        </w:tc>
        <w:tc>
          <w:tcPr>
            <w:tcW w:w="1276" w:type="dxa"/>
          </w:tcPr>
          <w:p w:rsidR="00C12FCB" w:rsidRDefault="00C12FCB" w:rsidP="00DC7F18">
            <w:pPr>
              <w:jc w:val="both"/>
              <w:rPr>
                <w:rFonts w:cs="Times New Roman"/>
                <w:bCs/>
                <w:szCs w:val="22"/>
                <w:lang w:eastAsia="nl-NL"/>
              </w:rPr>
            </w:pPr>
            <w:r>
              <w:rPr>
                <w:rFonts w:cs="Times New Roman"/>
                <w:bCs/>
                <w:szCs w:val="22"/>
                <w:lang w:eastAsia="nl-NL"/>
              </w:rPr>
              <w:t xml:space="preserve">60 EUR </w:t>
            </w:r>
          </w:p>
        </w:tc>
      </w:tr>
      <w:tr w:rsidR="000A0F59" w:rsidTr="000A0F59">
        <w:tc>
          <w:tcPr>
            <w:tcW w:w="6658" w:type="dxa"/>
          </w:tcPr>
          <w:p w:rsidR="000A0F59" w:rsidRDefault="000A0F59" w:rsidP="000A0F59">
            <w:pPr>
              <w:jc w:val="both"/>
              <w:rPr>
                <w:rFonts w:cs="Times New Roman"/>
                <w:bCs/>
                <w:szCs w:val="22"/>
                <w:lang w:eastAsia="nl-NL"/>
              </w:rPr>
            </w:pPr>
            <w:r>
              <w:rPr>
                <w:rFonts w:cs="Times New Roman"/>
                <w:bCs/>
                <w:szCs w:val="22"/>
                <w:lang w:eastAsia="nl-NL"/>
              </w:rPr>
              <w:t xml:space="preserve">Tussenkomst schoolkosten </w:t>
            </w:r>
            <w:r>
              <w:rPr>
                <w:rFonts w:cs="Times New Roman"/>
                <w:bCs/>
                <w:szCs w:val="22"/>
                <w:lang w:eastAsia="nl-NL"/>
              </w:rPr>
              <w:t>secundair onderwijs</w:t>
            </w:r>
            <w:r>
              <w:rPr>
                <w:rFonts w:cs="Times New Roman"/>
                <w:bCs/>
                <w:szCs w:val="22"/>
                <w:lang w:eastAsia="nl-NL"/>
              </w:rPr>
              <w:t xml:space="preserve"> </w:t>
            </w:r>
          </w:p>
        </w:tc>
        <w:tc>
          <w:tcPr>
            <w:tcW w:w="1418" w:type="dxa"/>
          </w:tcPr>
          <w:p w:rsidR="000A0F59" w:rsidRDefault="000A0F59" w:rsidP="000A45B4">
            <w:pPr>
              <w:jc w:val="both"/>
              <w:rPr>
                <w:rFonts w:cs="Times New Roman"/>
                <w:bCs/>
                <w:szCs w:val="22"/>
                <w:lang w:eastAsia="nl-NL"/>
              </w:rPr>
            </w:pPr>
            <w:r>
              <w:rPr>
                <w:rFonts w:cs="Times New Roman"/>
                <w:bCs/>
                <w:szCs w:val="22"/>
                <w:lang w:eastAsia="nl-NL"/>
              </w:rPr>
              <w:t>75</w:t>
            </w:r>
            <w:r>
              <w:rPr>
                <w:rFonts w:cs="Times New Roman"/>
                <w:bCs/>
                <w:szCs w:val="22"/>
                <w:lang w:eastAsia="nl-NL"/>
              </w:rPr>
              <w:t xml:space="preserve"> EUR</w:t>
            </w:r>
          </w:p>
        </w:tc>
        <w:tc>
          <w:tcPr>
            <w:tcW w:w="1276" w:type="dxa"/>
          </w:tcPr>
          <w:p w:rsidR="000A0F59" w:rsidRDefault="000A0F59" w:rsidP="000A45B4">
            <w:pPr>
              <w:jc w:val="both"/>
              <w:rPr>
                <w:rFonts w:cs="Times New Roman"/>
                <w:bCs/>
                <w:szCs w:val="22"/>
                <w:lang w:eastAsia="nl-NL"/>
              </w:rPr>
            </w:pPr>
            <w:r>
              <w:rPr>
                <w:rFonts w:cs="Times New Roman"/>
                <w:bCs/>
                <w:szCs w:val="22"/>
                <w:lang w:eastAsia="nl-NL"/>
              </w:rPr>
              <w:t>90</w:t>
            </w:r>
            <w:r>
              <w:rPr>
                <w:rFonts w:cs="Times New Roman"/>
                <w:bCs/>
                <w:szCs w:val="22"/>
                <w:lang w:eastAsia="nl-NL"/>
              </w:rPr>
              <w:t xml:space="preserve"> EUR </w:t>
            </w:r>
          </w:p>
        </w:tc>
      </w:tr>
    </w:tbl>
    <w:p w:rsidR="00D76E80" w:rsidRDefault="00D76E80" w:rsidP="003B1807">
      <w:pPr>
        <w:jc w:val="both"/>
        <w:rPr>
          <w:rFonts w:cs="Times New Roman"/>
          <w:bCs/>
          <w:szCs w:val="22"/>
          <w:lang w:eastAsia="nl-NL"/>
        </w:rPr>
      </w:pPr>
    </w:p>
    <w:p w:rsidR="00D76E80" w:rsidRDefault="00D76E80" w:rsidP="003B1807">
      <w:pPr>
        <w:jc w:val="both"/>
        <w:rPr>
          <w:rFonts w:cs="Times New Roman"/>
          <w:bCs/>
          <w:szCs w:val="22"/>
          <w:lang w:eastAsia="nl-NL"/>
        </w:rPr>
      </w:pPr>
      <w:r>
        <w:rPr>
          <w:rFonts w:cs="Times New Roman"/>
          <w:bCs/>
          <w:szCs w:val="22"/>
          <w:lang w:eastAsia="nl-NL"/>
        </w:rPr>
        <w:t xml:space="preserve">Financiële impact </w:t>
      </w:r>
    </w:p>
    <w:p w:rsidR="00D76E80" w:rsidRDefault="00C12FCB" w:rsidP="003B1807">
      <w:pPr>
        <w:jc w:val="both"/>
        <w:rPr>
          <w:rFonts w:cs="Times New Roman"/>
          <w:bCs/>
          <w:szCs w:val="22"/>
          <w:lang w:eastAsia="nl-NL"/>
        </w:rPr>
      </w:pPr>
      <w:r>
        <w:rPr>
          <w:rFonts w:cs="Times New Roman"/>
          <w:bCs/>
          <w:szCs w:val="22"/>
          <w:lang w:eastAsia="nl-NL"/>
        </w:rPr>
        <w:t>De bestaande kredieten onder ACT-218 ‘</w:t>
      </w:r>
      <w:r w:rsidRPr="00C12FCB">
        <w:rPr>
          <w:rFonts w:cs="Times New Roman"/>
          <w:bCs/>
          <w:szCs w:val="22"/>
          <w:lang w:eastAsia="nl-NL"/>
        </w:rPr>
        <w:t xml:space="preserve">Vrijetijdsaanbod voor mensen in </w:t>
      </w:r>
      <w:proofErr w:type="spellStart"/>
      <w:r w:rsidRPr="00C12FCB">
        <w:rPr>
          <w:rFonts w:cs="Times New Roman"/>
          <w:bCs/>
          <w:szCs w:val="22"/>
          <w:lang w:eastAsia="nl-NL"/>
        </w:rPr>
        <w:t>kwestbare</w:t>
      </w:r>
      <w:proofErr w:type="spellEnd"/>
      <w:r w:rsidRPr="00C12FCB">
        <w:rPr>
          <w:rFonts w:cs="Times New Roman"/>
          <w:bCs/>
          <w:szCs w:val="22"/>
          <w:lang w:eastAsia="nl-NL"/>
        </w:rPr>
        <w:t xml:space="preserve"> posities</w:t>
      </w:r>
      <w:r>
        <w:rPr>
          <w:rFonts w:cs="Times New Roman"/>
          <w:bCs/>
          <w:szCs w:val="22"/>
          <w:lang w:eastAsia="nl-NL"/>
        </w:rPr>
        <w:t xml:space="preserve">’ </w:t>
      </w:r>
      <w:r w:rsidR="00D76E80">
        <w:rPr>
          <w:rFonts w:cs="Times New Roman"/>
          <w:bCs/>
          <w:szCs w:val="22"/>
          <w:lang w:eastAsia="nl-NL"/>
        </w:rPr>
        <w:t>blijven behouden</w:t>
      </w:r>
      <w:r>
        <w:rPr>
          <w:rFonts w:cs="Times New Roman"/>
          <w:bCs/>
          <w:szCs w:val="22"/>
          <w:lang w:eastAsia="nl-NL"/>
        </w:rPr>
        <w:t xml:space="preserve">. Aan de uitgavezijde is er jaarlijks 8000 EUR voorzien. De inkomsten variëren en worden jaarlijkse bekendgemaakt door de POD MI. Voor 2022 bedroeg de federale toelage SCP 3245 EUR. Met de overschot van het kredieten worden jaarlijks zomer- en winterpakketten uitgedeeld aan onze cliënten. </w:t>
      </w:r>
    </w:p>
    <w:p w:rsidR="003B1807" w:rsidRDefault="003B1807" w:rsidP="00AE5FC6">
      <w:pPr>
        <w:jc w:val="both"/>
        <w:rPr>
          <w:rFonts w:cs="Times New Roman"/>
          <w:bCs/>
          <w:szCs w:val="22"/>
          <w:lang w:eastAsia="nl-NL"/>
        </w:rPr>
      </w:pPr>
    </w:p>
    <w:p w:rsidR="00D76E80" w:rsidRDefault="00D76E80" w:rsidP="00AE5FC6">
      <w:pPr>
        <w:jc w:val="both"/>
        <w:rPr>
          <w:rFonts w:cs="Times New Roman"/>
          <w:bCs/>
          <w:szCs w:val="22"/>
          <w:lang w:eastAsia="nl-NL"/>
        </w:rPr>
      </w:pPr>
      <w:r>
        <w:rPr>
          <w:rFonts w:cs="Times New Roman"/>
          <w:bCs/>
          <w:szCs w:val="22"/>
          <w:lang w:eastAsia="nl-NL"/>
        </w:rPr>
        <w:t xml:space="preserve">REGLEMENT SOCIO-CULTURELE PARTICIPATIE </w:t>
      </w:r>
    </w:p>
    <w:p w:rsidR="00D76E80" w:rsidRDefault="00D76E80" w:rsidP="00AE5FC6">
      <w:pPr>
        <w:jc w:val="both"/>
        <w:rPr>
          <w:rFonts w:cs="Times New Roman"/>
          <w:bCs/>
          <w:szCs w:val="22"/>
          <w:lang w:eastAsia="nl-NL"/>
        </w:rPr>
      </w:pPr>
    </w:p>
    <w:p w:rsidR="00D76E80" w:rsidRDefault="00D76E80" w:rsidP="00AE5FC6">
      <w:pPr>
        <w:jc w:val="both"/>
        <w:rPr>
          <w:rFonts w:cs="Times New Roman"/>
          <w:bCs/>
          <w:szCs w:val="22"/>
          <w:lang w:eastAsia="nl-NL"/>
        </w:rPr>
      </w:pPr>
      <w:r>
        <w:rPr>
          <w:rFonts w:cs="Times New Roman"/>
          <w:bCs/>
          <w:szCs w:val="22"/>
          <w:lang w:eastAsia="nl-NL"/>
        </w:rPr>
        <w:t xml:space="preserve">Artikel 0: </w:t>
      </w:r>
      <w:r w:rsidRPr="000A0F59">
        <w:rPr>
          <w:rFonts w:cs="Times New Roman"/>
          <w:b/>
          <w:bCs/>
          <w:szCs w:val="22"/>
          <w:lang w:eastAsia="nl-NL"/>
        </w:rPr>
        <w:t xml:space="preserve">Overgangsbepalingen </w:t>
      </w:r>
    </w:p>
    <w:p w:rsidR="00D76E80" w:rsidRDefault="00D76E80" w:rsidP="00AE5FC6">
      <w:pPr>
        <w:jc w:val="both"/>
        <w:rPr>
          <w:rFonts w:cs="Times New Roman"/>
          <w:bCs/>
          <w:szCs w:val="22"/>
          <w:lang w:eastAsia="nl-NL"/>
        </w:rPr>
      </w:pPr>
      <w:r>
        <w:rPr>
          <w:rFonts w:cs="Times New Roman"/>
          <w:bCs/>
          <w:szCs w:val="22"/>
          <w:lang w:eastAsia="nl-NL"/>
        </w:rPr>
        <w:t xml:space="preserve">Dit reglement vervangt vanaf 1 januari 2023 het reglement socio-culturele participatie zoals goedgekeurd door OCMW-raad 20.09.2017. </w:t>
      </w:r>
    </w:p>
    <w:p w:rsidR="00D76E80" w:rsidRDefault="00D76E80" w:rsidP="00AE5FC6">
      <w:pPr>
        <w:jc w:val="both"/>
        <w:rPr>
          <w:rFonts w:cs="Times New Roman"/>
          <w:bCs/>
          <w:szCs w:val="22"/>
          <w:lang w:eastAsia="nl-NL"/>
        </w:rPr>
      </w:pPr>
      <w:r>
        <w:rPr>
          <w:rFonts w:cs="Times New Roman"/>
          <w:bCs/>
          <w:szCs w:val="22"/>
          <w:lang w:eastAsia="nl-NL"/>
        </w:rPr>
        <w:t xml:space="preserve">Dit reglement wordt </w:t>
      </w:r>
      <w:r w:rsidR="000A0F59">
        <w:rPr>
          <w:rFonts w:cs="Times New Roman"/>
          <w:bCs/>
          <w:szCs w:val="22"/>
          <w:lang w:eastAsia="nl-NL"/>
        </w:rPr>
        <w:t xml:space="preserve">bekend gemaakt via de website </w:t>
      </w:r>
      <w:hyperlink r:id="rId5" w:history="1">
        <w:r w:rsidR="000A0F59" w:rsidRPr="00D97B25">
          <w:rPr>
            <w:rStyle w:val="Hyperlink"/>
            <w:rFonts w:cs="Times New Roman"/>
            <w:bCs/>
            <w:szCs w:val="22"/>
            <w:lang w:eastAsia="nl-NL"/>
          </w:rPr>
          <w:t>www.lokaalbestuurhoegaarden.be</w:t>
        </w:r>
      </w:hyperlink>
      <w:r w:rsidR="000A0F59">
        <w:rPr>
          <w:rFonts w:cs="Times New Roman"/>
          <w:bCs/>
          <w:szCs w:val="22"/>
          <w:lang w:eastAsia="nl-NL"/>
        </w:rPr>
        <w:t xml:space="preserve"> </w:t>
      </w:r>
    </w:p>
    <w:p w:rsidR="003B1807" w:rsidRDefault="003B1807" w:rsidP="00AE5FC6">
      <w:pPr>
        <w:jc w:val="both"/>
        <w:rPr>
          <w:rFonts w:cs="Times New Roman"/>
          <w:bCs/>
          <w:szCs w:val="22"/>
          <w:lang w:eastAsia="nl-NL"/>
        </w:rPr>
      </w:pPr>
    </w:p>
    <w:p w:rsidR="00AE5FC6" w:rsidRPr="003B1807" w:rsidRDefault="00D76E80" w:rsidP="00AE5FC6">
      <w:pPr>
        <w:tabs>
          <w:tab w:val="left" w:pos="567"/>
        </w:tabs>
        <w:rPr>
          <w:rFonts w:cs="Times New Roman"/>
          <w:b/>
          <w:bCs/>
          <w:szCs w:val="22"/>
          <w:lang w:eastAsia="nl-NL"/>
        </w:rPr>
      </w:pPr>
      <w:r>
        <w:rPr>
          <w:rFonts w:cs="Times New Roman"/>
          <w:b/>
          <w:bCs/>
          <w:szCs w:val="22"/>
          <w:lang w:eastAsia="nl-NL"/>
        </w:rPr>
        <w:t>DEEL 1</w:t>
      </w:r>
      <w:r w:rsidR="0080753A" w:rsidRPr="003B1807">
        <w:rPr>
          <w:rFonts w:cs="Times New Roman"/>
          <w:b/>
          <w:bCs/>
          <w:szCs w:val="22"/>
          <w:lang w:eastAsia="nl-NL"/>
        </w:rPr>
        <w:t xml:space="preserve">: </w:t>
      </w:r>
      <w:r w:rsidR="00AE5FC6" w:rsidRPr="003B1807">
        <w:rPr>
          <w:rFonts w:cs="Times New Roman"/>
          <w:b/>
          <w:bCs/>
          <w:szCs w:val="22"/>
          <w:lang w:eastAsia="nl-NL"/>
        </w:rPr>
        <w:t xml:space="preserve"> </w:t>
      </w:r>
      <w:r w:rsidR="00AE5FC6" w:rsidRPr="003B1807">
        <w:rPr>
          <w:b/>
          <w:bCs/>
          <w:i/>
          <w:sz w:val="24"/>
          <w:u w:val="single"/>
        </w:rPr>
        <w:t xml:space="preserve">Toelage ter bevordering van de participatie en sociale activering </w:t>
      </w:r>
    </w:p>
    <w:p w:rsidR="003B1807" w:rsidRDefault="003B1807" w:rsidP="003B1807">
      <w:pPr>
        <w:jc w:val="both"/>
        <w:rPr>
          <w:rFonts w:cs="Times New Roman"/>
          <w:bCs/>
          <w:szCs w:val="22"/>
          <w:lang w:eastAsia="nl-NL"/>
        </w:rPr>
      </w:pPr>
    </w:p>
    <w:p w:rsidR="003B1807" w:rsidRDefault="003B1807" w:rsidP="003B1807">
      <w:pPr>
        <w:jc w:val="both"/>
        <w:rPr>
          <w:rFonts w:cs="Times New Roman"/>
          <w:bCs/>
          <w:szCs w:val="22"/>
          <w:lang w:eastAsia="nl-NL"/>
        </w:rPr>
      </w:pPr>
      <w:r>
        <w:rPr>
          <w:rFonts w:cs="Times New Roman"/>
          <w:bCs/>
          <w:szCs w:val="22"/>
          <w:lang w:eastAsia="nl-NL"/>
        </w:rPr>
        <w:t xml:space="preserve">OCMW Hoegaarden wenst voor haar cliënten de maatschappelijke participatie te verhogen en het sociaal isolement te doorbreken door deelname aan maatschappelijk zinvolle activiteiten te bevorderen. Het OCMW werkt hiervoor samen met het lokale middenveld en komt tussen in de sociale tarieven. </w:t>
      </w:r>
    </w:p>
    <w:p w:rsidR="0080753A" w:rsidRDefault="0080753A" w:rsidP="00AE5FC6">
      <w:pPr>
        <w:jc w:val="both"/>
        <w:rPr>
          <w:rFonts w:cs="Times New Roman"/>
          <w:bCs/>
          <w:szCs w:val="22"/>
          <w:lang w:eastAsia="nl-NL"/>
        </w:rPr>
      </w:pPr>
    </w:p>
    <w:p w:rsidR="0080753A" w:rsidRPr="003B1807" w:rsidRDefault="0080753A" w:rsidP="00AE5FC6">
      <w:pPr>
        <w:jc w:val="both"/>
        <w:rPr>
          <w:rFonts w:cs="Times New Roman"/>
          <w:b/>
          <w:bCs/>
          <w:szCs w:val="22"/>
          <w:lang w:eastAsia="nl-NL"/>
        </w:rPr>
      </w:pPr>
      <w:r w:rsidRPr="003B1807">
        <w:rPr>
          <w:rFonts w:cs="Times New Roman"/>
          <w:b/>
          <w:bCs/>
          <w:szCs w:val="22"/>
          <w:lang w:eastAsia="nl-NL"/>
        </w:rPr>
        <w:t>Artikel 1</w:t>
      </w:r>
      <w:r w:rsidR="00D76E80">
        <w:rPr>
          <w:rFonts w:cs="Times New Roman"/>
          <w:b/>
          <w:bCs/>
          <w:szCs w:val="22"/>
          <w:lang w:eastAsia="nl-NL"/>
        </w:rPr>
        <w:t>.1</w:t>
      </w:r>
      <w:r w:rsidRPr="003B1807">
        <w:rPr>
          <w:rFonts w:cs="Times New Roman"/>
          <w:b/>
          <w:bCs/>
          <w:szCs w:val="22"/>
          <w:lang w:eastAsia="nl-NL"/>
        </w:rPr>
        <w:t xml:space="preserve"> : tussenkomsten en bedragen</w:t>
      </w:r>
    </w:p>
    <w:p w:rsidR="00AE5FC6" w:rsidRDefault="0080753A" w:rsidP="00AE5FC6">
      <w:pPr>
        <w:jc w:val="both"/>
        <w:rPr>
          <w:rFonts w:cs="Times New Roman"/>
          <w:bCs/>
          <w:szCs w:val="22"/>
          <w:lang w:eastAsia="nl-NL"/>
        </w:rPr>
      </w:pPr>
      <w:r>
        <w:rPr>
          <w:rFonts w:cs="Times New Roman"/>
          <w:bCs/>
          <w:szCs w:val="22"/>
          <w:lang w:eastAsia="nl-NL"/>
        </w:rPr>
        <w:t xml:space="preserve">§ 1 Tussenkomst lidgelden voor jeugd-, senioren-, sport- en culturele verenigingen </w:t>
      </w:r>
    </w:p>
    <w:p w:rsidR="0080753A" w:rsidRPr="00AE5FC6" w:rsidRDefault="0080753A" w:rsidP="00AE5FC6">
      <w:pPr>
        <w:jc w:val="both"/>
        <w:rPr>
          <w:rFonts w:cs="Times New Roman"/>
          <w:bCs/>
          <w:szCs w:val="22"/>
          <w:lang w:eastAsia="nl-NL"/>
        </w:rPr>
      </w:pPr>
      <w:r>
        <w:rPr>
          <w:rFonts w:cs="Times New Roman"/>
          <w:bCs/>
          <w:szCs w:val="22"/>
          <w:lang w:eastAsia="nl-NL"/>
        </w:rPr>
        <w:t xml:space="preserve">Er kan een tussenkomst in het lidgeld van een jeugd-, senioren-, sport- of culturele vereniging aangevraagd worden. De tussenkomst bedraag 90% van het lidgeld en de voor de deelname noodzakelijke benodigdheden en uitrustingen, met een maximum van 40 euro per persoon per jaar. Voor kinderen wordt deze tussenkomst verhoogd tot maximaal 100 euro per persoon per jaar.  </w:t>
      </w:r>
    </w:p>
    <w:p w:rsidR="0080753A" w:rsidRDefault="0080753A"/>
    <w:p w:rsidR="0080753A" w:rsidRDefault="0080753A">
      <w:r>
        <w:t xml:space="preserve">§ 2 Tussenkomst bij deelname aan kampen tijdens de vakantieperiode van jeugd-, sport- en culturele verenigingen. </w:t>
      </w:r>
    </w:p>
    <w:p w:rsidR="0080753A" w:rsidRDefault="0080753A"/>
    <w:p w:rsidR="0080753A" w:rsidRDefault="0080753A">
      <w:r>
        <w:t xml:space="preserve">Er kan een tussenkomst gevraagd worden voor deelname aan kampen van jeugd-, sport- en culturele verenigingen tijdens de vakantieperiodes. De tussenkomst bedraagt 90 % van de kampprijs, met een maximum van 120 euro per kind per jaar. </w:t>
      </w:r>
    </w:p>
    <w:p w:rsidR="0080753A" w:rsidRDefault="0080753A"/>
    <w:p w:rsidR="0080753A" w:rsidRPr="003B1807" w:rsidRDefault="0080753A">
      <w:pPr>
        <w:rPr>
          <w:b/>
        </w:rPr>
      </w:pPr>
      <w:r w:rsidRPr="003B1807">
        <w:rPr>
          <w:b/>
        </w:rPr>
        <w:t xml:space="preserve">Artikel </w:t>
      </w:r>
      <w:r w:rsidR="00D76E80">
        <w:rPr>
          <w:b/>
        </w:rPr>
        <w:t>1.</w:t>
      </w:r>
      <w:r w:rsidRPr="003B1807">
        <w:rPr>
          <w:b/>
        </w:rPr>
        <w:t xml:space="preserve">2 Gerechtigden </w:t>
      </w:r>
    </w:p>
    <w:p w:rsidR="0080753A" w:rsidRDefault="0080753A">
      <w:r>
        <w:t xml:space="preserve">Alle OCMW-cliënten kunnen op voordracht van hun maatschappelijk assistent van de sociale dienst aanspraak maken op een tussenkomst. </w:t>
      </w:r>
    </w:p>
    <w:p w:rsidR="0080753A" w:rsidRDefault="0080753A">
      <w:r>
        <w:t xml:space="preserve">Personen waarvan het OCMW de gezins- en inkomenssituatie niet kent, zullen onderworpen worden aan een sociaal onderzoek naar inkomsten en uitgaven van de aanvrager. </w:t>
      </w:r>
    </w:p>
    <w:p w:rsidR="00AE5FC6" w:rsidRDefault="0080753A">
      <w:r>
        <w:t xml:space="preserve">Binnen dit reglement wordt als kind beschouw wie jonger is dan 18 jaar. </w:t>
      </w:r>
    </w:p>
    <w:p w:rsidR="000A0F59" w:rsidRDefault="000A0F59">
      <w:r>
        <w:t xml:space="preserve">Met jaar bedoelen we kalenderjaar. </w:t>
      </w:r>
    </w:p>
    <w:p w:rsidR="0080753A" w:rsidRDefault="0080753A"/>
    <w:p w:rsidR="0080753A" w:rsidRPr="003B1807" w:rsidRDefault="0080753A">
      <w:pPr>
        <w:rPr>
          <w:b/>
        </w:rPr>
      </w:pPr>
      <w:r w:rsidRPr="003B1807">
        <w:rPr>
          <w:b/>
        </w:rPr>
        <w:t>Arti</w:t>
      </w:r>
      <w:r w:rsidR="003B1807">
        <w:rPr>
          <w:b/>
        </w:rPr>
        <w:t xml:space="preserve">kel </w:t>
      </w:r>
      <w:r w:rsidR="00D76E80">
        <w:rPr>
          <w:b/>
        </w:rPr>
        <w:t>1.</w:t>
      </w:r>
      <w:r w:rsidR="003B1807">
        <w:rPr>
          <w:b/>
        </w:rPr>
        <w:t xml:space="preserve">3: aanvraag en voorwaarden </w:t>
      </w:r>
    </w:p>
    <w:p w:rsidR="0080753A" w:rsidRDefault="0080753A">
      <w:r>
        <w:t xml:space="preserve">De cliënt of de betrokken vereniging dient een aanvraag in </w:t>
      </w:r>
      <w:r w:rsidR="003B1807">
        <w:t xml:space="preserve">bij de sociale dienst van het OCMW. De aanvraag wordt geregistreerd als hulpvraag en voorgelegd aan de eerstvolgende vergadering van het Bijzonder Comité van de sociale dienst (= BCSD). </w:t>
      </w:r>
    </w:p>
    <w:p w:rsidR="003B1807" w:rsidRDefault="003B1807">
      <w:r>
        <w:t xml:space="preserve">Bij hoogdringendheid kan de voorzitter van het BCSD een beslissing nemen, die achteraf wordt bekrachtigd door het BCSD. De uitbetaling van de toelage zal gebeuren na voorlegging van de nodige bewijzen en facturen. </w:t>
      </w:r>
    </w:p>
    <w:p w:rsidR="00D76E80" w:rsidRDefault="00D76E80"/>
    <w:p w:rsidR="003B1807" w:rsidRPr="003B1807" w:rsidRDefault="00D76E80" w:rsidP="003B1807">
      <w:pPr>
        <w:tabs>
          <w:tab w:val="left" w:pos="567"/>
        </w:tabs>
        <w:rPr>
          <w:rFonts w:cs="Times New Roman"/>
          <w:b/>
          <w:bCs/>
          <w:szCs w:val="22"/>
          <w:lang w:eastAsia="nl-NL"/>
        </w:rPr>
      </w:pPr>
      <w:r>
        <w:rPr>
          <w:rFonts w:cs="Times New Roman"/>
          <w:b/>
          <w:bCs/>
          <w:szCs w:val="22"/>
          <w:lang w:eastAsia="nl-NL"/>
        </w:rPr>
        <w:t>DEEL 2</w:t>
      </w:r>
      <w:r w:rsidR="003B1807" w:rsidRPr="003B1807">
        <w:rPr>
          <w:rFonts w:cs="Times New Roman"/>
          <w:b/>
          <w:bCs/>
          <w:szCs w:val="22"/>
          <w:lang w:eastAsia="nl-NL"/>
        </w:rPr>
        <w:t xml:space="preserve">:  </w:t>
      </w:r>
      <w:r w:rsidR="003B1807">
        <w:rPr>
          <w:b/>
          <w:bCs/>
          <w:i/>
          <w:sz w:val="24"/>
          <w:u w:val="single"/>
        </w:rPr>
        <w:t xml:space="preserve">Tussenkomst in schoolkosten </w:t>
      </w:r>
    </w:p>
    <w:p w:rsidR="003B1807" w:rsidRDefault="003B1807" w:rsidP="003B1807">
      <w:pPr>
        <w:jc w:val="both"/>
        <w:rPr>
          <w:rFonts w:cs="Times New Roman"/>
          <w:bCs/>
          <w:szCs w:val="22"/>
          <w:lang w:eastAsia="nl-NL"/>
        </w:rPr>
      </w:pPr>
    </w:p>
    <w:p w:rsidR="003B1807" w:rsidRDefault="003B1807" w:rsidP="003B1807">
      <w:pPr>
        <w:jc w:val="both"/>
        <w:rPr>
          <w:rFonts w:cs="Times New Roman"/>
          <w:bCs/>
          <w:szCs w:val="22"/>
          <w:lang w:eastAsia="nl-NL"/>
        </w:rPr>
      </w:pPr>
      <w:r>
        <w:rPr>
          <w:rFonts w:cs="Times New Roman"/>
          <w:bCs/>
          <w:szCs w:val="22"/>
          <w:lang w:eastAsia="nl-NL"/>
        </w:rPr>
        <w:t xml:space="preserve">OCMW Hoegaarden </w:t>
      </w:r>
      <w:r>
        <w:rPr>
          <w:rFonts w:cs="Times New Roman"/>
          <w:bCs/>
          <w:szCs w:val="22"/>
          <w:lang w:eastAsia="nl-NL"/>
        </w:rPr>
        <w:t xml:space="preserve">stelt vast dat een aantal gezinnen het financieel moeilijk hebben om de schoolrekeningen te betalen. Om hieraan enigszins tegemoet te komen wordt in de tussenkomst schoolkosten voorzien. Deze tussenkomst gaat rechtstreeks naar de school, die deze toelage gebruiken voor het betalen van de schoolrekening, schoolboeken, lesmateriaal, daguitstappen en/of schoolreizen. </w:t>
      </w:r>
      <w:r>
        <w:rPr>
          <w:rFonts w:cs="Times New Roman"/>
          <w:bCs/>
          <w:szCs w:val="22"/>
          <w:lang w:eastAsia="nl-NL"/>
        </w:rPr>
        <w:t xml:space="preserve"> </w:t>
      </w:r>
    </w:p>
    <w:p w:rsidR="003B1807" w:rsidRDefault="003B1807" w:rsidP="003B1807">
      <w:pPr>
        <w:jc w:val="both"/>
        <w:rPr>
          <w:rFonts w:cs="Times New Roman"/>
          <w:bCs/>
          <w:szCs w:val="22"/>
          <w:lang w:eastAsia="nl-NL"/>
        </w:rPr>
      </w:pPr>
    </w:p>
    <w:p w:rsidR="003B1807" w:rsidRDefault="003B1807" w:rsidP="003B1807">
      <w:pPr>
        <w:jc w:val="both"/>
        <w:rPr>
          <w:rFonts w:cs="Times New Roman"/>
          <w:bCs/>
          <w:szCs w:val="22"/>
          <w:lang w:eastAsia="nl-NL"/>
        </w:rPr>
      </w:pPr>
    </w:p>
    <w:p w:rsidR="003B1807" w:rsidRPr="003B1807" w:rsidRDefault="003B1807" w:rsidP="003B1807">
      <w:pPr>
        <w:jc w:val="both"/>
        <w:rPr>
          <w:rFonts w:cs="Times New Roman"/>
          <w:b/>
          <w:bCs/>
          <w:szCs w:val="22"/>
          <w:lang w:eastAsia="nl-NL"/>
        </w:rPr>
      </w:pPr>
      <w:r w:rsidRPr="003B1807">
        <w:rPr>
          <w:rFonts w:cs="Times New Roman"/>
          <w:b/>
          <w:bCs/>
          <w:szCs w:val="22"/>
          <w:lang w:eastAsia="nl-NL"/>
        </w:rPr>
        <w:t>Artikel 1 : tussenkomsten en bedragen</w:t>
      </w:r>
    </w:p>
    <w:p w:rsidR="003B1807" w:rsidRDefault="003B1807" w:rsidP="003B1807">
      <w:pPr>
        <w:rPr>
          <w:rFonts w:cs="Times New Roman"/>
          <w:bCs/>
          <w:szCs w:val="22"/>
          <w:lang w:eastAsia="nl-NL"/>
        </w:rPr>
      </w:pPr>
      <w:r>
        <w:rPr>
          <w:rFonts w:cs="Times New Roman"/>
          <w:bCs/>
          <w:szCs w:val="22"/>
          <w:lang w:eastAsia="nl-NL"/>
        </w:rPr>
        <w:t xml:space="preserve">De tussenkomst verschilt naargelang het kinderen in de kleuterschool, de lagere school of het secundair onderwijs betreft. De tussenkomst per kind per schooljaar bedraagt maximaal: </w:t>
      </w:r>
    </w:p>
    <w:p w:rsidR="003B1807" w:rsidRDefault="003B1807" w:rsidP="003B1807">
      <w:pPr>
        <w:pStyle w:val="Lijstalinea"/>
        <w:numPr>
          <w:ilvl w:val="0"/>
          <w:numId w:val="1"/>
        </w:numPr>
      </w:pPr>
      <w:r>
        <w:t xml:space="preserve">Kleuteronderwijs: €30. </w:t>
      </w:r>
    </w:p>
    <w:p w:rsidR="003B1807" w:rsidRDefault="003B1807" w:rsidP="003B1807">
      <w:pPr>
        <w:pStyle w:val="Lijstalinea"/>
        <w:numPr>
          <w:ilvl w:val="0"/>
          <w:numId w:val="1"/>
        </w:numPr>
      </w:pPr>
      <w:r>
        <w:t xml:space="preserve">Lagere school: € 60, verhoogd met € 60 voor eenmalige tussen komst in meerdaagse klassen (bv. bosklasse, </w:t>
      </w:r>
      <w:proofErr w:type="spellStart"/>
      <w:r>
        <w:t>zeeklasse</w:t>
      </w:r>
      <w:proofErr w:type="spellEnd"/>
      <w:r>
        <w:t xml:space="preserve">, …) </w:t>
      </w:r>
    </w:p>
    <w:p w:rsidR="003B1807" w:rsidRDefault="003B1807" w:rsidP="003B1807">
      <w:pPr>
        <w:pStyle w:val="Lijstalinea"/>
        <w:numPr>
          <w:ilvl w:val="0"/>
          <w:numId w:val="1"/>
        </w:numPr>
      </w:pPr>
      <w:r>
        <w:t xml:space="preserve">Secundair onderwijs: € 90. </w:t>
      </w:r>
    </w:p>
    <w:p w:rsidR="003B1807" w:rsidRDefault="003B1807" w:rsidP="003B1807"/>
    <w:p w:rsidR="003B1807" w:rsidRPr="003B1807" w:rsidRDefault="003B1807" w:rsidP="003B1807">
      <w:pPr>
        <w:rPr>
          <w:b/>
        </w:rPr>
      </w:pPr>
      <w:r w:rsidRPr="003B1807">
        <w:rPr>
          <w:b/>
        </w:rPr>
        <w:t xml:space="preserve">Artikel 2 Gerechtigden </w:t>
      </w:r>
    </w:p>
    <w:p w:rsidR="003B1807" w:rsidRDefault="003B1807" w:rsidP="003B1807">
      <w:r>
        <w:lastRenderedPageBreak/>
        <w:t xml:space="preserve">De betrokken kinderen zijn ingeschreven in het bevolkings- en vreemdelingenregister van Hoegaarden. Een tussenkomst gebeurt op voordracht van de maatschappelijk assistent van de sociale dienst. </w:t>
      </w:r>
    </w:p>
    <w:p w:rsidR="003B1807" w:rsidRDefault="003B1807" w:rsidP="003B1807"/>
    <w:p w:rsidR="003B1807" w:rsidRDefault="003B1807" w:rsidP="003B1807">
      <w:r>
        <w:t xml:space="preserve">Volgende tussen komsten zijn gerechtigd zonder sociaal onderzoek naar inkomsten en uitgaven: </w:t>
      </w:r>
    </w:p>
    <w:p w:rsidR="003B1807" w:rsidRDefault="00D76E80" w:rsidP="00D76E80">
      <w:pPr>
        <w:pStyle w:val="Lijstalinea"/>
        <w:numPr>
          <w:ilvl w:val="0"/>
          <w:numId w:val="1"/>
        </w:numPr>
      </w:pPr>
      <w:r>
        <w:t xml:space="preserve">Personen met een OMNIO-statuut </w:t>
      </w:r>
      <w:r>
        <w:sym w:font="Wingdings" w:char="F0E0"/>
      </w:r>
      <w:r>
        <w:t xml:space="preserve"> attest wordt afgeleverd door ziekenfonds </w:t>
      </w:r>
    </w:p>
    <w:p w:rsidR="00D76E80" w:rsidRDefault="00D76E80" w:rsidP="00D76E80">
      <w:pPr>
        <w:pStyle w:val="Lijstalinea"/>
        <w:numPr>
          <w:ilvl w:val="0"/>
          <w:numId w:val="1"/>
        </w:numPr>
      </w:pPr>
      <w:r>
        <w:t xml:space="preserve">Personen in schuldenregeling die genieten van een verhoogde tegemoetkoming </w:t>
      </w:r>
      <w:r>
        <w:sym w:font="Wingdings" w:char="F0E0"/>
      </w:r>
      <w:r>
        <w:t xml:space="preserve"> attest wordt afgeleverd door schuldbemiddelaar. </w:t>
      </w:r>
    </w:p>
    <w:p w:rsidR="00D76E80" w:rsidRDefault="00D76E80" w:rsidP="00D76E80">
      <w:pPr>
        <w:pStyle w:val="Lijstalinea"/>
        <w:numPr>
          <w:ilvl w:val="0"/>
          <w:numId w:val="1"/>
        </w:numPr>
      </w:pPr>
      <w:r>
        <w:t xml:space="preserve">Personen met een inkomen lager of gelijk aan de Europese armoedegrens </w:t>
      </w:r>
      <w:r>
        <w:sym w:font="Wingdings" w:char="F0E0"/>
      </w:r>
      <w:r>
        <w:t xml:space="preserve"> attest wordt afgeleverd door OCMW </w:t>
      </w:r>
    </w:p>
    <w:p w:rsidR="00D76E80" w:rsidRDefault="00D76E80" w:rsidP="00D76E80">
      <w:r>
        <w:t xml:space="preserve">In alle andere gevallen zal een uitgebreid sociaal onderzoek gebeuren naar de inkomsten en  uitgaven van de aanvrager. </w:t>
      </w:r>
    </w:p>
    <w:p w:rsidR="003B1807" w:rsidRDefault="003B1807" w:rsidP="003B1807"/>
    <w:p w:rsidR="003B1807" w:rsidRPr="003B1807" w:rsidRDefault="003B1807" w:rsidP="003B1807">
      <w:pPr>
        <w:rPr>
          <w:b/>
        </w:rPr>
      </w:pPr>
      <w:r w:rsidRPr="003B1807">
        <w:rPr>
          <w:b/>
        </w:rPr>
        <w:t>Arti</w:t>
      </w:r>
      <w:r>
        <w:rPr>
          <w:b/>
        </w:rPr>
        <w:t xml:space="preserve">kel 3: aanvraag en voorwaarden </w:t>
      </w:r>
    </w:p>
    <w:p w:rsidR="003B1807" w:rsidRDefault="003B1807" w:rsidP="003B1807">
      <w:r>
        <w:t>De cliënt of de betrok</w:t>
      </w:r>
      <w:r w:rsidR="00D76E80">
        <w:t>ken school</w:t>
      </w:r>
      <w:r>
        <w:t xml:space="preserve"> dient een aanvraag in bij de sociale dienst van het OCMW. De aanvraag wordt geregistreerd als hulpvraag en voorgelegd aan de eerstvolgende vergadering van het Bijzonder Comité van de sociale dienst (= BCSD). </w:t>
      </w:r>
    </w:p>
    <w:p w:rsidR="003B1807" w:rsidRDefault="003B1807" w:rsidP="00D76E80">
      <w:r>
        <w:t>Bij hoogdringendheid kan de voorzitter van het BCSD een beslissing nemen, die achteraf wordt bekrachtigd door het BCSD. De uitbetaling van de toelage zal</w:t>
      </w:r>
      <w:r w:rsidR="00D76E80">
        <w:t xml:space="preserve"> rechtstreeks gebeuren aan de school na voorlegging van de onbetaalde facturen. </w:t>
      </w:r>
      <w:r>
        <w:t xml:space="preserve"> </w:t>
      </w:r>
    </w:p>
    <w:p w:rsidR="0080753A" w:rsidRDefault="0080753A"/>
    <w:p w:rsidR="00C12FCB" w:rsidRDefault="00C12FCB"/>
    <w:sectPr w:rsidR="00C12F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Next LT Pro Bold">
    <w:altName w:val="Arial"/>
    <w:panose1 w:val="020B0804020202020204"/>
    <w:charset w:val="00"/>
    <w:family w:val="swiss"/>
    <w:notTrueType/>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AvenirNext LT Pro Regular">
    <w:altName w:val="Arial"/>
    <w:panose1 w:val="020B0504020202020204"/>
    <w:charset w:val="00"/>
    <w:family w:val="swiss"/>
    <w:notTrueType/>
    <w:pitch w:val="variable"/>
    <w:sig w:usb0="00000001"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37130"/>
    <w:multiLevelType w:val="hybridMultilevel"/>
    <w:tmpl w:val="3A4A7584"/>
    <w:lvl w:ilvl="0" w:tplc="30327648">
      <w:start w:val="2"/>
      <w:numFmt w:val="bullet"/>
      <w:lvlText w:val="-"/>
      <w:lvlJc w:val="left"/>
      <w:pPr>
        <w:ind w:left="720" w:hanging="360"/>
      </w:pPr>
      <w:rPr>
        <w:rFonts w:ascii="Century" w:eastAsia="Times New Roman" w:hAnsi="Century"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FC6"/>
    <w:rsid w:val="000A0F59"/>
    <w:rsid w:val="00324038"/>
    <w:rsid w:val="003B1807"/>
    <w:rsid w:val="006B52DA"/>
    <w:rsid w:val="0080753A"/>
    <w:rsid w:val="00AE5FC6"/>
    <w:rsid w:val="00C12FCB"/>
    <w:rsid w:val="00D76E8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8AB5"/>
  <w15:chartTrackingRefBased/>
  <w15:docId w15:val="{E112A637-9F40-4385-8679-C8422A2B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E5FC6"/>
    <w:pPr>
      <w:spacing w:after="0" w:line="240" w:lineRule="auto"/>
    </w:pPr>
    <w:rPr>
      <w:rFonts w:ascii="Century" w:eastAsia="Times New Roman" w:hAnsi="Century" w:cs="Arial"/>
      <w:szCs w:val="24"/>
      <w:lang w:val="nl-NL"/>
    </w:rPr>
  </w:style>
  <w:style w:type="paragraph" w:styleId="Kop1">
    <w:name w:val="heading 1"/>
    <w:basedOn w:val="Standaard"/>
    <w:next w:val="Standaard"/>
    <w:link w:val="Kop1Char"/>
    <w:uiPriority w:val="9"/>
    <w:qFormat/>
    <w:rsid w:val="006B52DA"/>
    <w:pPr>
      <w:keepNext/>
      <w:keepLines/>
      <w:spacing w:before="240"/>
      <w:outlineLvl w:val="0"/>
    </w:pPr>
    <w:rPr>
      <w:rFonts w:ascii="AvenirNext LT Pro Bold" w:eastAsiaTheme="majorEastAsia" w:hAnsi="AvenirNext LT Pro Bold" w:cstheme="majorBidi"/>
      <w:color w:val="003267"/>
      <w:sz w:val="32"/>
      <w:szCs w:val="32"/>
    </w:rPr>
  </w:style>
  <w:style w:type="paragraph" w:styleId="Kop2">
    <w:name w:val="heading 2"/>
    <w:basedOn w:val="Standaard"/>
    <w:next w:val="Standaard"/>
    <w:link w:val="Kop2Char"/>
    <w:uiPriority w:val="9"/>
    <w:semiHidden/>
    <w:unhideWhenUsed/>
    <w:qFormat/>
    <w:rsid w:val="000A0F5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7">
    <w:name w:val="heading 7"/>
    <w:basedOn w:val="Standaard"/>
    <w:next w:val="Standaard"/>
    <w:link w:val="Kop7Char"/>
    <w:uiPriority w:val="9"/>
    <w:unhideWhenUsed/>
    <w:qFormat/>
    <w:rsid w:val="006B52DA"/>
    <w:pPr>
      <w:keepNext/>
      <w:keepLines/>
      <w:spacing w:before="40"/>
      <w:outlineLvl w:val="6"/>
    </w:pPr>
    <w:rPr>
      <w:rFonts w:ascii="AvenirNext LT Pro Regular" w:eastAsiaTheme="majorEastAsia" w:hAnsi="AvenirNext LT Pro Regular" w:cstheme="majorBidi"/>
      <w:i/>
      <w:iCs/>
      <w:color w:val="00326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6B52DA"/>
    <w:rPr>
      <w:rFonts w:ascii="AvenirNext LT Pro Regular" w:eastAsiaTheme="majorEastAsia" w:hAnsi="AvenirNext LT Pro Regular" w:cstheme="majorBidi"/>
      <w:i/>
      <w:iCs/>
      <w:color w:val="003267"/>
    </w:rPr>
  </w:style>
  <w:style w:type="character" w:customStyle="1" w:styleId="Kop1Char">
    <w:name w:val="Kop 1 Char"/>
    <w:basedOn w:val="Standaardalinea-lettertype"/>
    <w:link w:val="Kop1"/>
    <w:uiPriority w:val="9"/>
    <w:rsid w:val="006B52DA"/>
    <w:rPr>
      <w:rFonts w:ascii="AvenirNext LT Pro Bold" w:eastAsiaTheme="majorEastAsia" w:hAnsi="AvenirNext LT Pro Bold" w:cstheme="majorBidi"/>
      <w:color w:val="003267"/>
      <w:sz w:val="32"/>
      <w:szCs w:val="32"/>
    </w:rPr>
  </w:style>
  <w:style w:type="paragraph" w:styleId="Geenafstand">
    <w:name w:val="No Spacing"/>
    <w:uiPriority w:val="1"/>
    <w:qFormat/>
    <w:rsid w:val="00AE5FC6"/>
    <w:pPr>
      <w:spacing w:after="0" w:line="240" w:lineRule="auto"/>
    </w:pPr>
    <w:rPr>
      <w:rFonts w:ascii="Times New Roman" w:eastAsia="Times New Roman" w:hAnsi="Times New Roman" w:cs="Times New Roman"/>
      <w:sz w:val="24"/>
      <w:szCs w:val="24"/>
      <w:lang w:val="nl-NL" w:eastAsia="nl-NL"/>
    </w:rPr>
  </w:style>
  <w:style w:type="paragraph" w:styleId="Lijstalinea">
    <w:name w:val="List Paragraph"/>
    <w:basedOn w:val="Standaard"/>
    <w:uiPriority w:val="34"/>
    <w:qFormat/>
    <w:rsid w:val="00AE5FC6"/>
    <w:pPr>
      <w:ind w:left="720"/>
      <w:contextualSpacing/>
    </w:pPr>
  </w:style>
  <w:style w:type="table" w:styleId="Tabelraster">
    <w:name w:val="Table Grid"/>
    <w:basedOn w:val="Standaardtabel"/>
    <w:uiPriority w:val="39"/>
    <w:rsid w:val="00D76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link w:val="Kop2"/>
    <w:uiPriority w:val="9"/>
    <w:semiHidden/>
    <w:rsid w:val="000A0F59"/>
    <w:rPr>
      <w:rFonts w:asciiTheme="majorHAnsi" w:eastAsiaTheme="majorEastAsia" w:hAnsiTheme="majorHAnsi" w:cstheme="majorBidi"/>
      <w:color w:val="2E74B5" w:themeColor="accent1" w:themeShade="BF"/>
      <w:sz w:val="26"/>
      <w:szCs w:val="26"/>
      <w:lang w:val="nl-NL"/>
    </w:rPr>
  </w:style>
  <w:style w:type="character" w:styleId="Hyperlink">
    <w:name w:val="Hyperlink"/>
    <w:basedOn w:val="Standaardalinea-lettertype"/>
    <w:uiPriority w:val="99"/>
    <w:unhideWhenUsed/>
    <w:rsid w:val="000A0F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5747">
      <w:bodyDiv w:val="1"/>
      <w:marLeft w:val="0"/>
      <w:marRight w:val="0"/>
      <w:marTop w:val="0"/>
      <w:marBottom w:val="0"/>
      <w:divBdr>
        <w:top w:val="none" w:sz="0" w:space="0" w:color="auto"/>
        <w:left w:val="none" w:sz="0" w:space="0" w:color="auto"/>
        <w:bottom w:val="none" w:sz="0" w:space="0" w:color="auto"/>
        <w:right w:val="none" w:sz="0" w:space="0" w:color="auto"/>
      </w:divBdr>
    </w:div>
    <w:div w:id="19209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okaalbestuurhoegaard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1007</Words>
  <Characters>5539</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Creten</dc:creator>
  <cp:keywords/>
  <dc:description/>
  <cp:lastModifiedBy>Wendy Creten</cp:lastModifiedBy>
  <cp:revision>1</cp:revision>
  <dcterms:created xsi:type="dcterms:W3CDTF">2022-09-23T13:22:00Z</dcterms:created>
  <dcterms:modified xsi:type="dcterms:W3CDTF">2022-09-23T14:26:00Z</dcterms:modified>
</cp:coreProperties>
</file>